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A7B8D" w:rsidRDefault="008A7B8D">
      <w:pPr>
        <w:jc w:val="both"/>
        <w:rPr>
          <w:b/>
          <w:sz w:val="14"/>
          <w:szCs w:val="14"/>
        </w:rPr>
      </w:pPr>
    </w:p>
    <w:p w14:paraId="00000002" w14:textId="77777777" w:rsidR="008A7B8D" w:rsidRDefault="00C51915">
      <w:pPr>
        <w:jc w:val="center"/>
        <w:rPr>
          <w:b/>
          <w:sz w:val="20"/>
        </w:rPr>
      </w:pPr>
      <w:r>
        <w:rPr>
          <w:b/>
          <w:sz w:val="20"/>
        </w:rPr>
        <w:t>PREPAID DELIVERABLE FUEL VENDOR AGREEMENT</w:t>
      </w:r>
    </w:p>
    <w:p w14:paraId="00000003" w14:textId="77777777" w:rsidR="008A7B8D" w:rsidRDefault="00C51915">
      <w:pPr>
        <w:jc w:val="center"/>
        <w:rPr>
          <w:b/>
          <w:sz w:val="20"/>
        </w:rPr>
      </w:pPr>
      <w:r>
        <w:rPr>
          <w:b/>
          <w:sz w:val="20"/>
        </w:rPr>
        <w:t>FY22 LOW-INCOME HOME ENERGY ASSISTANCE PROGRAM</w:t>
      </w:r>
    </w:p>
    <w:p w14:paraId="00000004" w14:textId="77777777" w:rsidR="008A7B8D" w:rsidRDefault="008A7B8D">
      <w:pPr>
        <w:jc w:val="both"/>
        <w:rPr>
          <w:sz w:val="20"/>
        </w:rPr>
      </w:pPr>
    </w:p>
    <w:p w14:paraId="00000005" w14:textId="77777777" w:rsidR="008A7B8D" w:rsidRDefault="008A7B8D">
      <w:pPr>
        <w:jc w:val="both"/>
        <w:rPr>
          <w:sz w:val="20"/>
        </w:rPr>
      </w:pPr>
    </w:p>
    <w:p w14:paraId="00000006" w14:textId="77777777" w:rsidR="008A7B8D" w:rsidRDefault="00C51915">
      <w:pPr>
        <w:jc w:val="both"/>
        <w:rPr>
          <w:sz w:val="20"/>
        </w:rPr>
      </w:pPr>
      <w:r>
        <w:rPr>
          <w:sz w:val="20"/>
        </w:rPr>
        <w:t xml:space="preserve">The following agreement is made between the local community action agency (Local Agency) administering the Iowa Low-Income Home Energy Assistance Program (LIHEAP) and: </w:t>
      </w:r>
    </w:p>
    <w:p w14:paraId="00000007" w14:textId="77777777" w:rsidR="008A7B8D" w:rsidRDefault="008A7B8D">
      <w:pPr>
        <w:jc w:val="both"/>
        <w:rPr>
          <w:sz w:val="20"/>
        </w:rPr>
      </w:pPr>
    </w:p>
    <w:p w14:paraId="00000008" w14:textId="77777777" w:rsidR="008A7B8D" w:rsidRDefault="008A7B8D">
      <w:pPr>
        <w:jc w:val="both"/>
        <w:rPr>
          <w:sz w:val="16"/>
          <w:szCs w:val="16"/>
        </w:rPr>
      </w:pPr>
    </w:p>
    <w:tbl>
      <w:tblPr>
        <w:tblStyle w:val="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8"/>
        <w:gridCol w:w="447"/>
        <w:gridCol w:w="270"/>
        <w:gridCol w:w="901"/>
        <w:gridCol w:w="1619"/>
        <w:gridCol w:w="360"/>
        <w:gridCol w:w="2610"/>
        <w:gridCol w:w="270"/>
        <w:gridCol w:w="2695"/>
      </w:tblGrid>
      <w:tr w:rsidR="008A7B8D" w14:paraId="1D227E9F" w14:textId="77777777">
        <w:tc>
          <w:tcPr>
            <w:tcW w:w="4855" w:type="dxa"/>
            <w:gridSpan w:val="5"/>
            <w:tcBorders>
              <w:top w:val="single" w:sz="4" w:space="0" w:color="000000"/>
              <w:left w:val="nil"/>
              <w:bottom w:val="nil"/>
              <w:right w:val="nil"/>
            </w:tcBorders>
          </w:tcPr>
          <w:p w14:paraId="00000009" w14:textId="16E9276E" w:rsidR="008A7B8D" w:rsidRDefault="00C51915">
            <w:pPr>
              <w:jc w:val="both"/>
              <w:rPr>
                <w:sz w:val="16"/>
                <w:szCs w:val="16"/>
              </w:rPr>
            </w:pPr>
            <w:r>
              <w:rPr>
                <w:sz w:val="16"/>
                <w:szCs w:val="16"/>
              </w:rPr>
              <w:t xml:space="preserve">Vendor </w:t>
            </w:r>
            <w:r w:rsidR="00B54C6A">
              <w:rPr>
                <w:sz w:val="16"/>
                <w:szCs w:val="16"/>
              </w:rPr>
              <w:t>(payment is issued in this name)</w:t>
            </w:r>
          </w:p>
        </w:tc>
        <w:tc>
          <w:tcPr>
            <w:tcW w:w="360" w:type="dxa"/>
            <w:tcBorders>
              <w:top w:val="nil"/>
              <w:left w:val="nil"/>
              <w:bottom w:val="nil"/>
              <w:right w:val="nil"/>
            </w:tcBorders>
          </w:tcPr>
          <w:p w14:paraId="0000000E" w14:textId="77777777" w:rsidR="008A7B8D" w:rsidRDefault="008A7B8D">
            <w:pPr>
              <w:jc w:val="both"/>
              <w:rPr>
                <w:sz w:val="16"/>
                <w:szCs w:val="16"/>
              </w:rPr>
            </w:pPr>
          </w:p>
        </w:tc>
        <w:tc>
          <w:tcPr>
            <w:tcW w:w="5575" w:type="dxa"/>
            <w:gridSpan w:val="3"/>
            <w:tcBorders>
              <w:left w:val="nil"/>
              <w:bottom w:val="nil"/>
              <w:right w:val="nil"/>
            </w:tcBorders>
          </w:tcPr>
          <w:p w14:paraId="0000000F" w14:textId="77777777" w:rsidR="008A7B8D" w:rsidRDefault="00C51915">
            <w:pPr>
              <w:jc w:val="both"/>
              <w:rPr>
                <w:sz w:val="16"/>
                <w:szCs w:val="16"/>
              </w:rPr>
            </w:pPr>
            <w:r>
              <w:rPr>
                <w:sz w:val="16"/>
                <w:szCs w:val="16"/>
              </w:rPr>
              <w:t>Local Agency</w:t>
            </w:r>
          </w:p>
        </w:tc>
      </w:tr>
      <w:tr w:rsidR="008A7B8D" w14:paraId="4F6067C3" w14:textId="77777777">
        <w:tc>
          <w:tcPr>
            <w:tcW w:w="4855" w:type="dxa"/>
            <w:gridSpan w:val="5"/>
            <w:tcBorders>
              <w:top w:val="nil"/>
              <w:left w:val="nil"/>
              <w:bottom w:val="single" w:sz="4" w:space="0" w:color="000000"/>
              <w:right w:val="nil"/>
            </w:tcBorders>
          </w:tcPr>
          <w:p w14:paraId="00000012" w14:textId="77777777" w:rsidR="008A7B8D" w:rsidRDefault="008A7B8D">
            <w:pPr>
              <w:jc w:val="both"/>
              <w:rPr>
                <w:sz w:val="16"/>
                <w:szCs w:val="16"/>
              </w:rPr>
            </w:pPr>
          </w:p>
        </w:tc>
        <w:tc>
          <w:tcPr>
            <w:tcW w:w="360" w:type="dxa"/>
            <w:tcBorders>
              <w:top w:val="nil"/>
              <w:left w:val="nil"/>
              <w:bottom w:val="nil"/>
              <w:right w:val="nil"/>
            </w:tcBorders>
          </w:tcPr>
          <w:p w14:paraId="00000017" w14:textId="77777777" w:rsidR="008A7B8D" w:rsidRDefault="008A7B8D">
            <w:pPr>
              <w:jc w:val="both"/>
              <w:rPr>
                <w:sz w:val="16"/>
                <w:szCs w:val="16"/>
              </w:rPr>
            </w:pPr>
          </w:p>
        </w:tc>
        <w:tc>
          <w:tcPr>
            <w:tcW w:w="5575" w:type="dxa"/>
            <w:gridSpan w:val="3"/>
            <w:tcBorders>
              <w:top w:val="nil"/>
              <w:left w:val="nil"/>
              <w:bottom w:val="single" w:sz="4" w:space="0" w:color="000000"/>
              <w:right w:val="nil"/>
            </w:tcBorders>
          </w:tcPr>
          <w:p w14:paraId="00000018" w14:textId="77777777" w:rsidR="008A7B8D" w:rsidRDefault="008A7B8D">
            <w:pPr>
              <w:jc w:val="both"/>
              <w:rPr>
                <w:sz w:val="16"/>
                <w:szCs w:val="16"/>
              </w:rPr>
            </w:pPr>
          </w:p>
        </w:tc>
      </w:tr>
      <w:tr w:rsidR="008A7B8D" w14:paraId="4079810D" w14:textId="77777777">
        <w:tc>
          <w:tcPr>
            <w:tcW w:w="2065" w:type="dxa"/>
            <w:gridSpan w:val="2"/>
            <w:tcBorders>
              <w:top w:val="nil"/>
              <w:left w:val="nil"/>
              <w:bottom w:val="nil"/>
              <w:right w:val="nil"/>
            </w:tcBorders>
          </w:tcPr>
          <w:p w14:paraId="0000001B" w14:textId="77777777" w:rsidR="008A7B8D" w:rsidRDefault="00C51915">
            <w:pPr>
              <w:jc w:val="both"/>
              <w:rPr>
                <w:sz w:val="16"/>
                <w:szCs w:val="16"/>
              </w:rPr>
            </w:pPr>
            <w:r>
              <w:rPr>
                <w:sz w:val="16"/>
                <w:szCs w:val="16"/>
              </w:rPr>
              <w:t>Address</w:t>
            </w:r>
          </w:p>
        </w:tc>
        <w:tc>
          <w:tcPr>
            <w:tcW w:w="270" w:type="dxa"/>
            <w:tcBorders>
              <w:top w:val="nil"/>
              <w:left w:val="nil"/>
              <w:bottom w:val="nil"/>
              <w:right w:val="nil"/>
            </w:tcBorders>
          </w:tcPr>
          <w:p w14:paraId="0000001D" w14:textId="77777777" w:rsidR="008A7B8D" w:rsidRDefault="008A7B8D">
            <w:pPr>
              <w:jc w:val="both"/>
              <w:rPr>
                <w:sz w:val="16"/>
                <w:szCs w:val="16"/>
              </w:rPr>
            </w:pPr>
          </w:p>
        </w:tc>
        <w:tc>
          <w:tcPr>
            <w:tcW w:w="2520" w:type="dxa"/>
            <w:gridSpan w:val="2"/>
            <w:tcBorders>
              <w:top w:val="single" w:sz="4" w:space="0" w:color="000000"/>
              <w:left w:val="nil"/>
              <w:bottom w:val="nil"/>
              <w:right w:val="nil"/>
            </w:tcBorders>
          </w:tcPr>
          <w:p w14:paraId="0000001E" w14:textId="77777777" w:rsidR="008A7B8D" w:rsidRDefault="008A7B8D">
            <w:pPr>
              <w:jc w:val="both"/>
              <w:rPr>
                <w:sz w:val="16"/>
                <w:szCs w:val="16"/>
              </w:rPr>
            </w:pPr>
          </w:p>
        </w:tc>
        <w:tc>
          <w:tcPr>
            <w:tcW w:w="360" w:type="dxa"/>
            <w:tcBorders>
              <w:top w:val="nil"/>
              <w:left w:val="nil"/>
              <w:bottom w:val="nil"/>
              <w:right w:val="nil"/>
            </w:tcBorders>
          </w:tcPr>
          <w:p w14:paraId="00000020" w14:textId="77777777" w:rsidR="008A7B8D" w:rsidRDefault="008A7B8D">
            <w:pPr>
              <w:jc w:val="both"/>
              <w:rPr>
                <w:sz w:val="16"/>
                <w:szCs w:val="16"/>
              </w:rPr>
            </w:pPr>
          </w:p>
        </w:tc>
        <w:tc>
          <w:tcPr>
            <w:tcW w:w="2610" w:type="dxa"/>
            <w:tcBorders>
              <w:top w:val="single" w:sz="4" w:space="0" w:color="000000"/>
              <w:left w:val="nil"/>
              <w:bottom w:val="nil"/>
              <w:right w:val="nil"/>
            </w:tcBorders>
          </w:tcPr>
          <w:p w14:paraId="00000021" w14:textId="77777777" w:rsidR="008A7B8D" w:rsidRDefault="00C51915">
            <w:pPr>
              <w:jc w:val="both"/>
              <w:rPr>
                <w:sz w:val="16"/>
                <w:szCs w:val="16"/>
              </w:rPr>
            </w:pPr>
            <w:r>
              <w:rPr>
                <w:sz w:val="16"/>
                <w:szCs w:val="16"/>
              </w:rPr>
              <w:t>Address</w:t>
            </w:r>
          </w:p>
        </w:tc>
        <w:tc>
          <w:tcPr>
            <w:tcW w:w="270" w:type="dxa"/>
            <w:tcBorders>
              <w:top w:val="nil"/>
              <w:left w:val="nil"/>
              <w:bottom w:val="nil"/>
              <w:right w:val="nil"/>
            </w:tcBorders>
          </w:tcPr>
          <w:p w14:paraId="00000022" w14:textId="77777777" w:rsidR="008A7B8D" w:rsidRDefault="008A7B8D">
            <w:pPr>
              <w:jc w:val="both"/>
              <w:rPr>
                <w:sz w:val="16"/>
                <w:szCs w:val="16"/>
              </w:rPr>
            </w:pPr>
          </w:p>
        </w:tc>
        <w:tc>
          <w:tcPr>
            <w:tcW w:w="2695" w:type="dxa"/>
            <w:tcBorders>
              <w:top w:val="single" w:sz="4" w:space="0" w:color="000000"/>
              <w:left w:val="nil"/>
              <w:bottom w:val="nil"/>
              <w:right w:val="nil"/>
            </w:tcBorders>
          </w:tcPr>
          <w:p w14:paraId="00000023" w14:textId="77777777" w:rsidR="008A7B8D" w:rsidRDefault="008A7B8D">
            <w:pPr>
              <w:jc w:val="both"/>
              <w:rPr>
                <w:sz w:val="16"/>
                <w:szCs w:val="16"/>
              </w:rPr>
            </w:pPr>
          </w:p>
        </w:tc>
      </w:tr>
      <w:tr w:rsidR="008A7B8D" w14:paraId="1058A811" w14:textId="77777777">
        <w:tc>
          <w:tcPr>
            <w:tcW w:w="4855" w:type="dxa"/>
            <w:gridSpan w:val="5"/>
            <w:tcBorders>
              <w:top w:val="nil"/>
              <w:left w:val="nil"/>
              <w:bottom w:val="single" w:sz="4" w:space="0" w:color="000000"/>
              <w:right w:val="nil"/>
            </w:tcBorders>
          </w:tcPr>
          <w:p w14:paraId="00000024" w14:textId="77777777" w:rsidR="008A7B8D" w:rsidRDefault="008A7B8D">
            <w:pPr>
              <w:jc w:val="both"/>
              <w:rPr>
                <w:sz w:val="16"/>
                <w:szCs w:val="16"/>
              </w:rPr>
            </w:pPr>
          </w:p>
        </w:tc>
        <w:tc>
          <w:tcPr>
            <w:tcW w:w="360" w:type="dxa"/>
            <w:tcBorders>
              <w:top w:val="nil"/>
              <w:left w:val="nil"/>
              <w:bottom w:val="nil"/>
              <w:right w:val="nil"/>
            </w:tcBorders>
          </w:tcPr>
          <w:p w14:paraId="00000029" w14:textId="77777777" w:rsidR="008A7B8D" w:rsidRDefault="008A7B8D">
            <w:pPr>
              <w:jc w:val="both"/>
              <w:rPr>
                <w:sz w:val="16"/>
                <w:szCs w:val="16"/>
              </w:rPr>
            </w:pPr>
          </w:p>
        </w:tc>
        <w:tc>
          <w:tcPr>
            <w:tcW w:w="5575" w:type="dxa"/>
            <w:gridSpan w:val="3"/>
            <w:tcBorders>
              <w:top w:val="nil"/>
              <w:left w:val="nil"/>
              <w:bottom w:val="single" w:sz="4" w:space="0" w:color="000000"/>
              <w:right w:val="nil"/>
            </w:tcBorders>
          </w:tcPr>
          <w:p w14:paraId="0000002A" w14:textId="77777777" w:rsidR="008A7B8D" w:rsidRDefault="008A7B8D">
            <w:pPr>
              <w:jc w:val="both"/>
              <w:rPr>
                <w:sz w:val="16"/>
                <w:szCs w:val="16"/>
              </w:rPr>
            </w:pPr>
          </w:p>
        </w:tc>
      </w:tr>
      <w:tr w:rsidR="008A7B8D" w14:paraId="34344D92" w14:textId="77777777">
        <w:tc>
          <w:tcPr>
            <w:tcW w:w="2065" w:type="dxa"/>
            <w:gridSpan w:val="2"/>
            <w:tcBorders>
              <w:top w:val="single" w:sz="4" w:space="0" w:color="000000"/>
              <w:left w:val="nil"/>
              <w:bottom w:val="nil"/>
              <w:right w:val="nil"/>
            </w:tcBorders>
          </w:tcPr>
          <w:p w14:paraId="0000002D" w14:textId="77777777" w:rsidR="008A7B8D" w:rsidRDefault="00C51915">
            <w:pPr>
              <w:jc w:val="both"/>
              <w:rPr>
                <w:sz w:val="16"/>
                <w:szCs w:val="16"/>
              </w:rPr>
            </w:pPr>
            <w:r>
              <w:rPr>
                <w:sz w:val="16"/>
                <w:szCs w:val="16"/>
              </w:rPr>
              <w:t>City, State, Zip</w:t>
            </w:r>
          </w:p>
        </w:tc>
        <w:tc>
          <w:tcPr>
            <w:tcW w:w="270" w:type="dxa"/>
            <w:tcBorders>
              <w:top w:val="nil"/>
              <w:left w:val="nil"/>
              <w:bottom w:val="nil"/>
              <w:right w:val="nil"/>
            </w:tcBorders>
          </w:tcPr>
          <w:p w14:paraId="0000002F" w14:textId="77777777" w:rsidR="008A7B8D" w:rsidRDefault="008A7B8D">
            <w:pPr>
              <w:jc w:val="both"/>
              <w:rPr>
                <w:sz w:val="16"/>
                <w:szCs w:val="16"/>
              </w:rPr>
            </w:pPr>
          </w:p>
        </w:tc>
        <w:tc>
          <w:tcPr>
            <w:tcW w:w="2520" w:type="dxa"/>
            <w:gridSpan w:val="2"/>
            <w:tcBorders>
              <w:top w:val="single" w:sz="4" w:space="0" w:color="000000"/>
              <w:left w:val="nil"/>
              <w:bottom w:val="nil"/>
              <w:right w:val="nil"/>
            </w:tcBorders>
          </w:tcPr>
          <w:p w14:paraId="00000030" w14:textId="77777777" w:rsidR="008A7B8D" w:rsidRDefault="008A7B8D">
            <w:pPr>
              <w:jc w:val="both"/>
              <w:rPr>
                <w:sz w:val="16"/>
                <w:szCs w:val="16"/>
              </w:rPr>
            </w:pPr>
          </w:p>
        </w:tc>
        <w:tc>
          <w:tcPr>
            <w:tcW w:w="360" w:type="dxa"/>
            <w:tcBorders>
              <w:top w:val="nil"/>
              <w:left w:val="nil"/>
              <w:bottom w:val="nil"/>
              <w:right w:val="nil"/>
            </w:tcBorders>
          </w:tcPr>
          <w:p w14:paraId="00000032" w14:textId="77777777" w:rsidR="008A7B8D" w:rsidRDefault="008A7B8D">
            <w:pPr>
              <w:jc w:val="both"/>
              <w:rPr>
                <w:sz w:val="16"/>
                <w:szCs w:val="16"/>
              </w:rPr>
            </w:pPr>
          </w:p>
        </w:tc>
        <w:tc>
          <w:tcPr>
            <w:tcW w:w="2610" w:type="dxa"/>
            <w:tcBorders>
              <w:top w:val="single" w:sz="4" w:space="0" w:color="000000"/>
              <w:left w:val="nil"/>
              <w:bottom w:val="nil"/>
              <w:right w:val="nil"/>
            </w:tcBorders>
          </w:tcPr>
          <w:p w14:paraId="00000033" w14:textId="77777777" w:rsidR="008A7B8D" w:rsidRDefault="00C51915">
            <w:pPr>
              <w:jc w:val="both"/>
              <w:rPr>
                <w:sz w:val="16"/>
                <w:szCs w:val="16"/>
              </w:rPr>
            </w:pPr>
            <w:r>
              <w:rPr>
                <w:sz w:val="16"/>
                <w:szCs w:val="16"/>
              </w:rPr>
              <w:t>City, State, Zip</w:t>
            </w:r>
          </w:p>
        </w:tc>
        <w:tc>
          <w:tcPr>
            <w:tcW w:w="270" w:type="dxa"/>
            <w:tcBorders>
              <w:top w:val="nil"/>
              <w:left w:val="nil"/>
              <w:bottom w:val="nil"/>
              <w:right w:val="nil"/>
            </w:tcBorders>
          </w:tcPr>
          <w:p w14:paraId="00000034" w14:textId="77777777" w:rsidR="008A7B8D" w:rsidRDefault="008A7B8D">
            <w:pPr>
              <w:jc w:val="both"/>
              <w:rPr>
                <w:sz w:val="16"/>
                <w:szCs w:val="16"/>
              </w:rPr>
            </w:pPr>
          </w:p>
        </w:tc>
        <w:tc>
          <w:tcPr>
            <w:tcW w:w="2695" w:type="dxa"/>
            <w:tcBorders>
              <w:top w:val="single" w:sz="4" w:space="0" w:color="000000"/>
              <w:left w:val="nil"/>
              <w:bottom w:val="nil"/>
              <w:right w:val="nil"/>
            </w:tcBorders>
          </w:tcPr>
          <w:p w14:paraId="00000035" w14:textId="77777777" w:rsidR="008A7B8D" w:rsidRDefault="008A7B8D">
            <w:pPr>
              <w:jc w:val="both"/>
              <w:rPr>
                <w:sz w:val="16"/>
                <w:szCs w:val="16"/>
              </w:rPr>
            </w:pPr>
          </w:p>
        </w:tc>
      </w:tr>
      <w:tr w:rsidR="008A7B8D" w14:paraId="5590B91F" w14:textId="77777777">
        <w:tc>
          <w:tcPr>
            <w:tcW w:w="2065" w:type="dxa"/>
            <w:gridSpan w:val="2"/>
            <w:tcBorders>
              <w:top w:val="nil"/>
              <w:left w:val="nil"/>
              <w:bottom w:val="nil"/>
              <w:right w:val="nil"/>
            </w:tcBorders>
          </w:tcPr>
          <w:p w14:paraId="00000036" w14:textId="77777777" w:rsidR="008A7B8D" w:rsidRDefault="008A7B8D">
            <w:pPr>
              <w:jc w:val="both"/>
              <w:rPr>
                <w:sz w:val="16"/>
                <w:szCs w:val="16"/>
              </w:rPr>
            </w:pPr>
          </w:p>
        </w:tc>
        <w:tc>
          <w:tcPr>
            <w:tcW w:w="270" w:type="dxa"/>
            <w:tcBorders>
              <w:top w:val="nil"/>
              <w:left w:val="nil"/>
              <w:bottom w:val="nil"/>
              <w:right w:val="nil"/>
            </w:tcBorders>
          </w:tcPr>
          <w:p w14:paraId="00000038" w14:textId="77777777" w:rsidR="008A7B8D" w:rsidRDefault="008A7B8D">
            <w:pPr>
              <w:jc w:val="both"/>
              <w:rPr>
                <w:sz w:val="16"/>
                <w:szCs w:val="16"/>
              </w:rPr>
            </w:pPr>
          </w:p>
        </w:tc>
        <w:tc>
          <w:tcPr>
            <w:tcW w:w="2520" w:type="dxa"/>
            <w:gridSpan w:val="2"/>
            <w:tcBorders>
              <w:top w:val="nil"/>
              <w:left w:val="nil"/>
              <w:bottom w:val="nil"/>
              <w:right w:val="nil"/>
            </w:tcBorders>
          </w:tcPr>
          <w:p w14:paraId="00000039" w14:textId="77777777" w:rsidR="008A7B8D" w:rsidRDefault="008A7B8D">
            <w:pPr>
              <w:jc w:val="both"/>
              <w:rPr>
                <w:sz w:val="16"/>
                <w:szCs w:val="16"/>
              </w:rPr>
            </w:pPr>
          </w:p>
        </w:tc>
        <w:tc>
          <w:tcPr>
            <w:tcW w:w="360" w:type="dxa"/>
            <w:tcBorders>
              <w:top w:val="nil"/>
              <w:left w:val="nil"/>
              <w:bottom w:val="nil"/>
              <w:right w:val="nil"/>
            </w:tcBorders>
          </w:tcPr>
          <w:p w14:paraId="0000003B" w14:textId="77777777" w:rsidR="008A7B8D" w:rsidRDefault="008A7B8D">
            <w:pPr>
              <w:jc w:val="both"/>
              <w:rPr>
                <w:sz w:val="16"/>
                <w:szCs w:val="16"/>
              </w:rPr>
            </w:pPr>
          </w:p>
        </w:tc>
        <w:tc>
          <w:tcPr>
            <w:tcW w:w="2610" w:type="dxa"/>
            <w:tcBorders>
              <w:top w:val="nil"/>
              <w:left w:val="nil"/>
              <w:bottom w:val="nil"/>
              <w:right w:val="nil"/>
            </w:tcBorders>
          </w:tcPr>
          <w:p w14:paraId="0000003C" w14:textId="77777777" w:rsidR="008A7B8D" w:rsidRDefault="008A7B8D">
            <w:pPr>
              <w:jc w:val="both"/>
              <w:rPr>
                <w:sz w:val="16"/>
                <w:szCs w:val="16"/>
              </w:rPr>
            </w:pPr>
          </w:p>
        </w:tc>
        <w:tc>
          <w:tcPr>
            <w:tcW w:w="270" w:type="dxa"/>
            <w:tcBorders>
              <w:top w:val="nil"/>
              <w:left w:val="nil"/>
              <w:bottom w:val="nil"/>
              <w:right w:val="nil"/>
            </w:tcBorders>
          </w:tcPr>
          <w:p w14:paraId="0000003D" w14:textId="77777777" w:rsidR="008A7B8D" w:rsidRDefault="008A7B8D">
            <w:pPr>
              <w:jc w:val="both"/>
              <w:rPr>
                <w:sz w:val="16"/>
                <w:szCs w:val="16"/>
              </w:rPr>
            </w:pPr>
          </w:p>
        </w:tc>
        <w:tc>
          <w:tcPr>
            <w:tcW w:w="2695" w:type="dxa"/>
            <w:tcBorders>
              <w:top w:val="nil"/>
              <w:left w:val="nil"/>
              <w:bottom w:val="nil"/>
              <w:right w:val="nil"/>
            </w:tcBorders>
          </w:tcPr>
          <w:p w14:paraId="0000003E" w14:textId="77777777" w:rsidR="008A7B8D" w:rsidRDefault="008A7B8D">
            <w:pPr>
              <w:jc w:val="both"/>
              <w:rPr>
                <w:sz w:val="16"/>
                <w:szCs w:val="16"/>
              </w:rPr>
            </w:pPr>
          </w:p>
        </w:tc>
      </w:tr>
      <w:tr w:rsidR="008A7B8D" w14:paraId="2C1AC75C" w14:textId="77777777">
        <w:tc>
          <w:tcPr>
            <w:tcW w:w="2065" w:type="dxa"/>
            <w:gridSpan w:val="2"/>
            <w:tcBorders>
              <w:top w:val="single" w:sz="4" w:space="0" w:color="000000"/>
              <w:left w:val="nil"/>
              <w:bottom w:val="nil"/>
              <w:right w:val="nil"/>
            </w:tcBorders>
          </w:tcPr>
          <w:p w14:paraId="0000003F" w14:textId="77777777" w:rsidR="008A7B8D" w:rsidRDefault="00C51915">
            <w:pPr>
              <w:jc w:val="both"/>
              <w:rPr>
                <w:sz w:val="16"/>
                <w:szCs w:val="16"/>
              </w:rPr>
            </w:pPr>
            <w:r>
              <w:rPr>
                <w:sz w:val="16"/>
                <w:szCs w:val="16"/>
              </w:rPr>
              <w:t>Contact Person</w:t>
            </w:r>
          </w:p>
        </w:tc>
        <w:tc>
          <w:tcPr>
            <w:tcW w:w="270" w:type="dxa"/>
            <w:tcBorders>
              <w:top w:val="nil"/>
              <w:left w:val="nil"/>
              <w:bottom w:val="nil"/>
              <w:right w:val="nil"/>
            </w:tcBorders>
          </w:tcPr>
          <w:p w14:paraId="00000041" w14:textId="77777777" w:rsidR="008A7B8D" w:rsidRDefault="008A7B8D">
            <w:pPr>
              <w:jc w:val="both"/>
              <w:rPr>
                <w:sz w:val="16"/>
                <w:szCs w:val="16"/>
              </w:rPr>
            </w:pPr>
          </w:p>
        </w:tc>
        <w:tc>
          <w:tcPr>
            <w:tcW w:w="2520" w:type="dxa"/>
            <w:gridSpan w:val="2"/>
            <w:tcBorders>
              <w:top w:val="single" w:sz="4" w:space="0" w:color="000000"/>
              <w:left w:val="nil"/>
              <w:bottom w:val="nil"/>
              <w:right w:val="nil"/>
            </w:tcBorders>
          </w:tcPr>
          <w:p w14:paraId="00000042" w14:textId="77777777" w:rsidR="008A7B8D" w:rsidRDefault="00C51915">
            <w:pPr>
              <w:jc w:val="both"/>
              <w:rPr>
                <w:sz w:val="16"/>
                <w:szCs w:val="16"/>
              </w:rPr>
            </w:pPr>
            <w:r>
              <w:rPr>
                <w:sz w:val="16"/>
                <w:szCs w:val="16"/>
              </w:rPr>
              <w:t>Email</w:t>
            </w:r>
          </w:p>
        </w:tc>
        <w:tc>
          <w:tcPr>
            <w:tcW w:w="360" w:type="dxa"/>
            <w:tcBorders>
              <w:top w:val="nil"/>
              <w:left w:val="nil"/>
              <w:bottom w:val="nil"/>
              <w:right w:val="nil"/>
            </w:tcBorders>
          </w:tcPr>
          <w:p w14:paraId="00000044" w14:textId="77777777" w:rsidR="008A7B8D" w:rsidRDefault="008A7B8D">
            <w:pPr>
              <w:jc w:val="both"/>
              <w:rPr>
                <w:sz w:val="16"/>
                <w:szCs w:val="16"/>
              </w:rPr>
            </w:pPr>
          </w:p>
        </w:tc>
        <w:tc>
          <w:tcPr>
            <w:tcW w:w="2610" w:type="dxa"/>
            <w:tcBorders>
              <w:top w:val="single" w:sz="4" w:space="0" w:color="000000"/>
              <w:left w:val="nil"/>
              <w:bottom w:val="nil"/>
              <w:right w:val="nil"/>
            </w:tcBorders>
          </w:tcPr>
          <w:p w14:paraId="00000045" w14:textId="77777777" w:rsidR="008A7B8D" w:rsidRDefault="00C51915">
            <w:pPr>
              <w:jc w:val="both"/>
              <w:rPr>
                <w:sz w:val="16"/>
                <w:szCs w:val="16"/>
              </w:rPr>
            </w:pPr>
            <w:r>
              <w:rPr>
                <w:sz w:val="16"/>
                <w:szCs w:val="16"/>
              </w:rPr>
              <w:t>Contact Person</w:t>
            </w:r>
          </w:p>
        </w:tc>
        <w:tc>
          <w:tcPr>
            <w:tcW w:w="270" w:type="dxa"/>
            <w:tcBorders>
              <w:top w:val="nil"/>
              <w:left w:val="nil"/>
              <w:bottom w:val="nil"/>
              <w:right w:val="nil"/>
            </w:tcBorders>
          </w:tcPr>
          <w:p w14:paraId="00000046" w14:textId="77777777" w:rsidR="008A7B8D" w:rsidRDefault="008A7B8D">
            <w:pPr>
              <w:jc w:val="both"/>
              <w:rPr>
                <w:sz w:val="16"/>
                <w:szCs w:val="16"/>
              </w:rPr>
            </w:pPr>
          </w:p>
        </w:tc>
        <w:tc>
          <w:tcPr>
            <w:tcW w:w="2695" w:type="dxa"/>
            <w:tcBorders>
              <w:top w:val="single" w:sz="4" w:space="0" w:color="000000"/>
              <w:left w:val="nil"/>
              <w:bottom w:val="nil"/>
              <w:right w:val="nil"/>
            </w:tcBorders>
          </w:tcPr>
          <w:p w14:paraId="00000047" w14:textId="77777777" w:rsidR="008A7B8D" w:rsidRDefault="00C51915">
            <w:pPr>
              <w:jc w:val="both"/>
              <w:rPr>
                <w:sz w:val="16"/>
                <w:szCs w:val="16"/>
              </w:rPr>
            </w:pPr>
            <w:r>
              <w:rPr>
                <w:sz w:val="16"/>
                <w:szCs w:val="16"/>
              </w:rPr>
              <w:t>Email</w:t>
            </w:r>
          </w:p>
        </w:tc>
      </w:tr>
      <w:tr w:rsidR="008A7B8D" w14:paraId="1A5ED9E2" w14:textId="77777777">
        <w:tc>
          <w:tcPr>
            <w:tcW w:w="1618" w:type="dxa"/>
            <w:tcBorders>
              <w:top w:val="nil"/>
              <w:left w:val="nil"/>
              <w:bottom w:val="nil"/>
              <w:right w:val="nil"/>
            </w:tcBorders>
          </w:tcPr>
          <w:p w14:paraId="00000048" w14:textId="77777777" w:rsidR="008A7B8D" w:rsidRDefault="008A7B8D">
            <w:pPr>
              <w:jc w:val="both"/>
              <w:rPr>
                <w:sz w:val="16"/>
                <w:szCs w:val="16"/>
              </w:rPr>
            </w:pPr>
          </w:p>
        </w:tc>
        <w:tc>
          <w:tcPr>
            <w:tcW w:w="1618" w:type="dxa"/>
            <w:gridSpan w:val="3"/>
            <w:tcBorders>
              <w:top w:val="nil"/>
              <w:left w:val="nil"/>
              <w:bottom w:val="nil"/>
              <w:right w:val="nil"/>
            </w:tcBorders>
          </w:tcPr>
          <w:p w14:paraId="00000049" w14:textId="77777777" w:rsidR="008A7B8D" w:rsidRDefault="008A7B8D">
            <w:pPr>
              <w:jc w:val="both"/>
              <w:rPr>
                <w:sz w:val="16"/>
                <w:szCs w:val="16"/>
              </w:rPr>
            </w:pPr>
          </w:p>
        </w:tc>
        <w:tc>
          <w:tcPr>
            <w:tcW w:w="1619" w:type="dxa"/>
            <w:tcBorders>
              <w:top w:val="nil"/>
              <w:left w:val="nil"/>
              <w:bottom w:val="nil"/>
              <w:right w:val="nil"/>
            </w:tcBorders>
          </w:tcPr>
          <w:p w14:paraId="0000004C" w14:textId="77777777" w:rsidR="008A7B8D" w:rsidRDefault="008A7B8D">
            <w:pPr>
              <w:jc w:val="both"/>
              <w:rPr>
                <w:sz w:val="16"/>
                <w:szCs w:val="16"/>
              </w:rPr>
            </w:pPr>
          </w:p>
        </w:tc>
        <w:tc>
          <w:tcPr>
            <w:tcW w:w="360" w:type="dxa"/>
            <w:tcBorders>
              <w:top w:val="nil"/>
              <w:left w:val="nil"/>
              <w:bottom w:val="nil"/>
              <w:right w:val="nil"/>
            </w:tcBorders>
          </w:tcPr>
          <w:p w14:paraId="0000004D" w14:textId="77777777" w:rsidR="008A7B8D" w:rsidRDefault="008A7B8D">
            <w:pPr>
              <w:jc w:val="both"/>
              <w:rPr>
                <w:sz w:val="16"/>
                <w:szCs w:val="16"/>
              </w:rPr>
            </w:pPr>
          </w:p>
        </w:tc>
        <w:tc>
          <w:tcPr>
            <w:tcW w:w="2610" w:type="dxa"/>
            <w:tcBorders>
              <w:top w:val="nil"/>
              <w:left w:val="nil"/>
              <w:bottom w:val="single" w:sz="4" w:space="0" w:color="000000"/>
              <w:right w:val="nil"/>
            </w:tcBorders>
          </w:tcPr>
          <w:p w14:paraId="0000004E" w14:textId="77777777" w:rsidR="008A7B8D" w:rsidRDefault="008A7B8D">
            <w:pPr>
              <w:jc w:val="both"/>
              <w:rPr>
                <w:sz w:val="16"/>
                <w:szCs w:val="16"/>
              </w:rPr>
            </w:pPr>
          </w:p>
        </w:tc>
        <w:tc>
          <w:tcPr>
            <w:tcW w:w="270" w:type="dxa"/>
            <w:tcBorders>
              <w:top w:val="nil"/>
              <w:left w:val="nil"/>
              <w:bottom w:val="nil"/>
              <w:right w:val="nil"/>
            </w:tcBorders>
          </w:tcPr>
          <w:p w14:paraId="0000004F" w14:textId="77777777" w:rsidR="008A7B8D" w:rsidRDefault="008A7B8D">
            <w:pPr>
              <w:jc w:val="both"/>
              <w:rPr>
                <w:sz w:val="16"/>
                <w:szCs w:val="16"/>
              </w:rPr>
            </w:pPr>
          </w:p>
        </w:tc>
        <w:tc>
          <w:tcPr>
            <w:tcW w:w="2695" w:type="dxa"/>
            <w:tcBorders>
              <w:top w:val="nil"/>
              <w:left w:val="nil"/>
              <w:bottom w:val="single" w:sz="4" w:space="0" w:color="000000"/>
              <w:right w:val="nil"/>
            </w:tcBorders>
          </w:tcPr>
          <w:p w14:paraId="00000050" w14:textId="77777777" w:rsidR="008A7B8D" w:rsidRDefault="008A7B8D">
            <w:pPr>
              <w:jc w:val="both"/>
              <w:rPr>
                <w:sz w:val="16"/>
                <w:szCs w:val="16"/>
              </w:rPr>
            </w:pPr>
          </w:p>
        </w:tc>
      </w:tr>
      <w:tr w:rsidR="008A7B8D" w14:paraId="43D97530" w14:textId="77777777">
        <w:tc>
          <w:tcPr>
            <w:tcW w:w="2065" w:type="dxa"/>
            <w:gridSpan w:val="2"/>
            <w:tcBorders>
              <w:top w:val="single" w:sz="4" w:space="0" w:color="000000"/>
              <w:left w:val="nil"/>
              <w:bottom w:val="nil"/>
              <w:right w:val="nil"/>
            </w:tcBorders>
          </w:tcPr>
          <w:p w14:paraId="00000051" w14:textId="77777777" w:rsidR="008A7B8D" w:rsidRDefault="00C51915">
            <w:pPr>
              <w:jc w:val="both"/>
              <w:rPr>
                <w:sz w:val="16"/>
                <w:szCs w:val="16"/>
              </w:rPr>
            </w:pPr>
            <w:r>
              <w:rPr>
                <w:sz w:val="16"/>
                <w:szCs w:val="16"/>
              </w:rPr>
              <w:t>Phone</w:t>
            </w:r>
          </w:p>
        </w:tc>
        <w:tc>
          <w:tcPr>
            <w:tcW w:w="270" w:type="dxa"/>
            <w:tcBorders>
              <w:top w:val="nil"/>
              <w:left w:val="nil"/>
              <w:bottom w:val="nil"/>
              <w:right w:val="nil"/>
            </w:tcBorders>
          </w:tcPr>
          <w:p w14:paraId="00000053" w14:textId="77777777" w:rsidR="008A7B8D" w:rsidRDefault="008A7B8D">
            <w:pPr>
              <w:jc w:val="both"/>
              <w:rPr>
                <w:sz w:val="16"/>
                <w:szCs w:val="16"/>
              </w:rPr>
            </w:pPr>
          </w:p>
        </w:tc>
        <w:tc>
          <w:tcPr>
            <w:tcW w:w="2520" w:type="dxa"/>
            <w:gridSpan w:val="2"/>
            <w:tcBorders>
              <w:top w:val="single" w:sz="4" w:space="0" w:color="000000"/>
              <w:left w:val="nil"/>
              <w:bottom w:val="nil"/>
              <w:right w:val="nil"/>
            </w:tcBorders>
          </w:tcPr>
          <w:p w14:paraId="00000054" w14:textId="77777777" w:rsidR="008A7B8D" w:rsidRDefault="00C51915">
            <w:pPr>
              <w:jc w:val="both"/>
              <w:rPr>
                <w:sz w:val="16"/>
                <w:szCs w:val="16"/>
              </w:rPr>
            </w:pPr>
            <w:r>
              <w:rPr>
                <w:sz w:val="16"/>
                <w:szCs w:val="16"/>
              </w:rPr>
              <w:t>Fax</w:t>
            </w:r>
          </w:p>
        </w:tc>
        <w:tc>
          <w:tcPr>
            <w:tcW w:w="360" w:type="dxa"/>
            <w:tcBorders>
              <w:top w:val="nil"/>
              <w:left w:val="nil"/>
              <w:bottom w:val="nil"/>
              <w:right w:val="nil"/>
            </w:tcBorders>
          </w:tcPr>
          <w:p w14:paraId="00000056" w14:textId="77777777" w:rsidR="008A7B8D" w:rsidRDefault="008A7B8D">
            <w:pPr>
              <w:jc w:val="both"/>
              <w:rPr>
                <w:sz w:val="16"/>
                <w:szCs w:val="16"/>
              </w:rPr>
            </w:pPr>
          </w:p>
        </w:tc>
        <w:tc>
          <w:tcPr>
            <w:tcW w:w="2610" w:type="dxa"/>
            <w:tcBorders>
              <w:top w:val="single" w:sz="4" w:space="0" w:color="000000"/>
              <w:left w:val="nil"/>
              <w:bottom w:val="nil"/>
              <w:right w:val="nil"/>
            </w:tcBorders>
          </w:tcPr>
          <w:p w14:paraId="00000057" w14:textId="77777777" w:rsidR="008A7B8D" w:rsidRDefault="00C51915">
            <w:pPr>
              <w:jc w:val="both"/>
              <w:rPr>
                <w:sz w:val="16"/>
                <w:szCs w:val="16"/>
              </w:rPr>
            </w:pPr>
            <w:r>
              <w:rPr>
                <w:sz w:val="16"/>
                <w:szCs w:val="16"/>
              </w:rPr>
              <w:t>Phone</w:t>
            </w:r>
          </w:p>
        </w:tc>
        <w:tc>
          <w:tcPr>
            <w:tcW w:w="270" w:type="dxa"/>
            <w:tcBorders>
              <w:top w:val="nil"/>
              <w:left w:val="nil"/>
              <w:bottom w:val="nil"/>
              <w:right w:val="nil"/>
            </w:tcBorders>
          </w:tcPr>
          <w:p w14:paraId="00000058" w14:textId="77777777" w:rsidR="008A7B8D" w:rsidRDefault="008A7B8D">
            <w:pPr>
              <w:jc w:val="both"/>
              <w:rPr>
                <w:sz w:val="16"/>
                <w:szCs w:val="16"/>
              </w:rPr>
            </w:pPr>
          </w:p>
        </w:tc>
        <w:tc>
          <w:tcPr>
            <w:tcW w:w="2695" w:type="dxa"/>
            <w:tcBorders>
              <w:top w:val="nil"/>
              <w:left w:val="nil"/>
              <w:bottom w:val="nil"/>
              <w:right w:val="nil"/>
            </w:tcBorders>
          </w:tcPr>
          <w:p w14:paraId="00000059" w14:textId="77777777" w:rsidR="008A7B8D" w:rsidRDefault="00C51915">
            <w:pPr>
              <w:jc w:val="both"/>
              <w:rPr>
                <w:sz w:val="16"/>
                <w:szCs w:val="16"/>
              </w:rPr>
            </w:pPr>
            <w:r>
              <w:rPr>
                <w:sz w:val="16"/>
                <w:szCs w:val="16"/>
              </w:rPr>
              <w:t>Fax</w:t>
            </w:r>
          </w:p>
        </w:tc>
      </w:tr>
    </w:tbl>
    <w:p w14:paraId="0000005A" w14:textId="77777777" w:rsidR="008A7B8D" w:rsidRDefault="008A7B8D">
      <w:pPr>
        <w:jc w:val="both"/>
        <w:rPr>
          <w:sz w:val="20"/>
        </w:rPr>
      </w:pPr>
    </w:p>
    <w:p w14:paraId="0000005B" w14:textId="77777777" w:rsidR="008A7B8D" w:rsidRDefault="00C51915">
      <w:pPr>
        <w:jc w:val="both"/>
        <w:rPr>
          <w:sz w:val="20"/>
        </w:rPr>
      </w:pPr>
      <w:r>
        <w:rPr>
          <w:sz w:val="20"/>
        </w:rPr>
        <w:t xml:space="preserve">The above-named Vendor has agreed to establish a Prepaid Low-Income Energy Assistance Program (LIHEAP) Account, on behalf of the State of Iowa, with the above-named Local Agency in the amount of $__________. </w:t>
      </w:r>
    </w:p>
    <w:p w14:paraId="0000005C" w14:textId="77777777" w:rsidR="008A7B8D" w:rsidRDefault="008A7B8D">
      <w:pPr>
        <w:jc w:val="both"/>
        <w:rPr>
          <w:sz w:val="20"/>
        </w:rPr>
      </w:pPr>
    </w:p>
    <w:p w14:paraId="0000005D" w14:textId="77777777" w:rsidR="008A7B8D" w:rsidRDefault="00C51915">
      <w:pPr>
        <w:jc w:val="both"/>
        <w:rPr>
          <w:sz w:val="20"/>
        </w:rPr>
      </w:pPr>
      <w:r>
        <w:rPr>
          <w:sz w:val="20"/>
        </w:rPr>
        <w:t>These funds are to contract for delivery of liquid propane gas and/or fuel oil to LIHEAP-eligible households for the duration of the agreement, or until the funds in the Prepaid LIHEAP Account are exhausted. Once prepaid funds are exhausted, delivery will be charged at market price.</w:t>
      </w:r>
    </w:p>
    <w:p w14:paraId="0000005E" w14:textId="77777777" w:rsidR="008A7B8D" w:rsidRDefault="008A7B8D">
      <w:pPr>
        <w:jc w:val="both"/>
        <w:rPr>
          <w:sz w:val="20"/>
        </w:rPr>
      </w:pPr>
    </w:p>
    <w:p w14:paraId="0000005F" w14:textId="77777777" w:rsidR="008A7B8D" w:rsidRDefault="00C51915">
      <w:pPr>
        <w:ind w:firstLine="450"/>
        <w:jc w:val="both"/>
        <w:rPr>
          <w:sz w:val="20"/>
          <w:u w:val="single"/>
        </w:rPr>
      </w:pPr>
      <w:r>
        <w:rPr>
          <w:sz w:val="20"/>
          <w:u w:val="single"/>
        </w:rPr>
        <w:t>Propane</w:t>
      </w:r>
      <w:r>
        <w:rPr>
          <w:sz w:val="16"/>
          <w:szCs w:val="16"/>
          <w:u w:val="single"/>
        </w:rPr>
        <w:t xml:space="preserve"> </w:t>
      </w:r>
    </w:p>
    <w:p w14:paraId="00000060" w14:textId="77777777" w:rsidR="008A7B8D" w:rsidRDefault="00C51915">
      <w:pPr>
        <w:jc w:val="both"/>
        <w:rPr>
          <w:sz w:val="20"/>
        </w:rPr>
      </w:pPr>
      <w:r>
        <w:rPr>
          <w:sz w:val="20"/>
        </w:rPr>
        <w:t xml:space="preserve"> </w:t>
      </w:r>
    </w:p>
    <w:p w14:paraId="00000061" w14:textId="77777777" w:rsidR="008A7B8D" w:rsidRDefault="00C51915">
      <w:pPr>
        <w:ind w:firstLine="450"/>
        <w:jc w:val="both"/>
        <w:rPr>
          <w:sz w:val="20"/>
        </w:rPr>
      </w:pPr>
      <w:r>
        <w:rPr>
          <w:sz w:val="20"/>
        </w:rPr>
        <w:t>___ Vendor agrees to deliver propane at the market price cost at the time of delivery.</w:t>
      </w:r>
    </w:p>
    <w:p w14:paraId="00000062" w14:textId="77777777" w:rsidR="008A7B8D" w:rsidRDefault="00C51915">
      <w:pPr>
        <w:ind w:firstLine="450"/>
        <w:jc w:val="both"/>
        <w:rPr>
          <w:sz w:val="20"/>
        </w:rPr>
      </w:pPr>
      <w:r>
        <w:rPr>
          <w:sz w:val="20"/>
        </w:rPr>
        <w:t>___ Vendor agrees to deliver propane at the locked-in price of $__________ per gallon.</w:t>
      </w:r>
    </w:p>
    <w:p w14:paraId="00000063" w14:textId="77777777" w:rsidR="008A7B8D" w:rsidRDefault="00C51915">
      <w:pPr>
        <w:ind w:firstLine="450"/>
        <w:jc w:val="both"/>
        <w:rPr>
          <w:sz w:val="20"/>
        </w:rPr>
      </w:pPr>
      <w:r>
        <w:rPr>
          <w:sz w:val="20"/>
        </w:rPr>
        <w:t>___ Vendor does not offer propane.</w:t>
      </w:r>
    </w:p>
    <w:p w14:paraId="00000064" w14:textId="77777777" w:rsidR="008A7B8D" w:rsidRDefault="008A7B8D">
      <w:pPr>
        <w:jc w:val="both"/>
        <w:rPr>
          <w:sz w:val="20"/>
        </w:rPr>
      </w:pPr>
    </w:p>
    <w:p w14:paraId="00000065" w14:textId="77777777" w:rsidR="008A7B8D" w:rsidRDefault="008A7B8D">
      <w:pPr>
        <w:ind w:firstLine="450"/>
        <w:jc w:val="both"/>
        <w:rPr>
          <w:sz w:val="20"/>
        </w:rPr>
      </w:pPr>
    </w:p>
    <w:p w14:paraId="00000066" w14:textId="77777777" w:rsidR="008A7B8D" w:rsidRDefault="00C51915">
      <w:pPr>
        <w:ind w:firstLine="450"/>
        <w:jc w:val="both"/>
        <w:rPr>
          <w:sz w:val="20"/>
          <w:u w:val="single"/>
        </w:rPr>
      </w:pPr>
      <w:r>
        <w:rPr>
          <w:sz w:val="20"/>
          <w:u w:val="single"/>
        </w:rPr>
        <w:t>Fuel Oil</w:t>
      </w:r>
    </w:p>
    <w:p w14:paraId="00000067" w14:textId="77777777" w:rsidR="008A7B8D" w:rsidRDefault="008A7B8D">
      <w:pPr>
        <w:ind w:firstLine="450"/>
        <w:jc w:val="both"/>
        <w:rPr>
          <w:sz w:val="20"/>
        </w:rPr>
      </w:pPr>
    </w:p>
    <w:p w14:paraId="00000068" w14:textId="77777777" w:rsidR="008A7B8D" w:rsidRDefault="00C51915">
      <w:pPr>
        <w:ind w:firstLine="450"/>
        <w:jc w:val="both"/>
        <w:rPr>
          <w:sz w:val="20"/>
        </w:rPr>
      </w:pPr>
      <w:r>
        <w:rPr>
          <w:sz w:val="20"/>
        </w:rPr>
        <w:t>___ Vendor agrees to deliver fuel oil at the market price cost at the time of delivery.</w:t>
      </w:r>
    </w:p>
    <w:p w14:paraId="00000069" w14:textId="77777777" w:rsidR="008A7B8D" w:rsidRDefault="00C51915">
      <w:pPr>
        <w:ind w:firstLine="450"/>
        <w:jc w:val="both"/>
        <w:rPr>
          <w:sz w:val="20"/>
        </w:rPr>
      </w:pPr>
      <w:r>
        <w:rPr>
          <w:sz w:val="20"/>
        </w:rPr>
        <w:t>___ Vendor agrees to deliver fuel oil at the locked-in price of $__________ per gallon.</w:t>
      </w:r>
    </w:p>
    <w:p w14:paraId="0000006A" w14:textId="77777777" w:rsidR="008A7B8D" w:rsidRDefault="00C51915">
      <w:pPr>
        <w:ind w:firstLine="450"/>
        <w:jc w:val="both"/>
        <w:rPr>
          <w:sz w:val="20"/>
        </w:rPr>
      </w:pPr>
      <w:r>
        <w:rPr>
          <w:sz w:val="20"/>
        </w:rPr>
        <w:t>___ Vendor does not offer fuel oil.</w:t>
      </w:r>
    </w:p>
    <w:p w14:paraId="0000006B" w14:textId="77777777" w:rsidR="008A7B8D" w:rsidRDefault="008A7B8D">
      <w:pPr>
        <w:ind w:firstLine="720"/>
        <w:jc w:val="both"/>
        <w:rPr>
          <w:sz w:val="20"/>
        </w:rPr>
      </w:pPr>
    </w:p>
    <w:p w14:paraId="0000006C" w14:textId="77777777" w:rsidR="008A7B8D" w:rsidRDefault="00C51915">
      <w:pPr>
        <w:jc w:val="both"/>
        <w:rPr>
          <w:sz w:val="20"/>
        </w:rPr>
      </w:pPr>
      <w:r>
        <w:rPr>
          <w:sz w:val="20"/>
        </w:rPr>
        <w:t xml:space="preserve">All provisions of this agreement are subject to the availability of federal funds, issued by the U.S. Department of Health &amp; Human Services (HHS). All Vendors shall abide by the following provisions for the current Iowa Low-Income Home Energy Assistance Program (LIHEAP).  </w:t>
      </w:r>
    </w:p>
    <w:p w14:paraId="0000006D" w14:textId="77777777" w:rsidR="008A7B8D" w:rsidRDefault="008A7B8D">
      <w:pPr>
        <w:jc w:val="both"/>
        <w:rPr>
          <w:sz w:val="20"/>
        </w:rPr>
      </w:pPr>
    </w:p>
    <w:p w14:paraId="0000006E" w14:textId="77777777" w:rsidR="008A7B8D" w:rsidRDefault="00C51915">
      <w:pPr>
        <w:jc w:val="both"/>
        <w:rPr>
          <w:sz w:val="20"/>
          <w:u w:val="single"/>
        </w:rPr>
      </w:pPr>
      <w:r>
        <w:rPr>
          <w:sz w:val="20"/>
          <w:u w:val="single"/>
        </w:rPr>
        <w:t>1.00   Agreement Duration</w:t>
      </w:r>
    </w:p>
    <w:p w14:paraId="0000006F" w14:textId="77777777" w:rsidR="008A7B8D" w:rsidRDefault="00C51915">
      <w:pPr>
        <w:jc w:val="both"/>
        <w:rPr>
          <w:sz w:val="20"/>
          <w:u w:val="single"/>
        </w:rPr>
      </w:pPr>
      <w:r>
        <w:rPr>
          <w:sz w:val="20"/>
        </w:rPr>
        <w:t>This agreement is effective when signed by the Vendor and shall terminate on September 30, 2022. The termination of this agreement shall not discharge any obligation owed by either party to the other or to an eligible household if such obligation was incurred during the effective period of the agreement.</w:t>
      </w:r>
    </w:p>
    <w:p w14:paraId="00000070" w14:textId="77777777" w:rsidR="008A7B8D" w:rsidRDefault="008A7B8D">
      <w:pPr>
        <w:jc w:val="both"/>
        <w:rPr>
          <w:sz w:val="20"/>
          <w:u w:val="single"/>
        </w:rPr>
      </w:pPr>
    </w:p>
    <w:p w14:paraId="00000071" w14:textId="77777777" w:rsidR="008A7B8D" w:rsidRDefault="00C51915">
      <w:pPr>
        <w:jc w:val="both"/>
        <w:rPr>
          <w:sz w:val="20"/>
          <w:u w:val="single"/>
        </w:rPr>
      </w:pPr>
      <w:r>
        <w:rPr>
          <w:sz w:val="20"/>
          <w:u w:val="single"/>
        </w:rPr>
        <w:t>2.00   Vendor Notification of Eligible Households</w:t>
      </w:r>
    </w:p>
    <w:p w14:paraId="00000072" w14:textId="48BA4671" w:rsidR="008A7B8D" w:rsidRDefault="00C51915">
      <w:pPr>
        <w:jc w:val="both"/>
        <w:rPr>
          <w:sz w:val="20"/>
        </w:rPr>
      </w:pPr>
      <w:r>
        <w:rPr>
          <w:sz w:val="20"/>
        </w:rPr>
        <w:t>The Local Agency will notify the Vendor in writing of those households that have been approved for the LIHEAP program</w:t>
      </w:r>
      <w:r w:rsidR="00B54C6A">
        <w:rPr>
          <w:sz w:val="20"/>
        </w:rPr>
        <w:t xml:space="preserve"> </w:t>
      </w:r>
      <w:bookmarkStart w:id="0" w:name="_Hlk76537391"/>
      <w:r w:rsidR="00B54C6A">
        <w:rPr>
          <w:sz w:val="20"/>
        </w:rPr>
        <w:t>via U.S. mail, email, phone, or an online portal hosted by the Vendor</w:t>
      </w:r>
      <w:r>
        <w:rPr>
          <w:sz w:val="20"/>
        </w:rPr>
        <w:t>.</w:t>
      </w:r>
      <w:bookmarkEnd w:id="0"/>
    </w:p>
    <w:p w14:paraId="00000073" w14:textId="77777777" w:rsidR="008A7B8D" w:rsidRDefault="008A7B8D">
      <w:pPr>
        <w:jc w:val="both"/>
        <w:rPr>
          <w:sz w:val="20"/>
        </w:rPr>
      </w:pPr>
    </w:p>
    <w:p w14:paraId="00000074" w14:textId="77777777" w:rsidR="008A7B8D" w:rsidRDefault="00C51915">
      <w:pPr>
        <w:jc w:val="both"/>
        <w:rPr>
          <w:sz w:val="20"/>
          <w:u w:val="single"/>
        </w:rPr>
      </w:pPr>
      <w:r>
        <w:rPr>
          <w:sz w:val="20"/>
          <w:u w:val="single"/>
        </w:rPr>
        <w:t>3.00   Household Payments from LIHEAP</w:t>
      </w:r>
    </w:p>
    <w:p w14:paraId="00000075" w14:textId="3CD30127" w:rsidR="008A7B8D" w:rsidRDefault="00C51915">
      <w:pPr>
        <w:jc w:val="both"/>
        <w:rPr>
          <w:sz w:val="20"/>
        </w:rPr>
      </w:pPr>
      <w:r>
        <w:rPr>
          <w:sz w:val="20"/>
        </w:rPr>
        <w:t xml:space="preserve">Eligible households on whose behalf payments are made are third-party beneficiaries under this agreement. Therefore, all payments accepted by the Vendor made by the Local Agency on behalf of an approved household must be applied as </w:t>
      </w:r>
      <w:r w:rsidR="00B54C6A">
        <w:rPr>
          <w:sz w:val="20"/>
        </w:rPr>
        <w:t xml:space="preserve">a </w:t>
      </w:r>
      <w:r>
        <w:rPr>
          <w:sz w:val="20"/>
        </w:rPr>
        <w:t xml:space="preserve">credit to that household’s current energy account. All LIHEAP credit balances must remain on the account until the LIHEAP benefit is exhausted. </w:t>
      </w:r>
    </w:p>
    <w:p w14:paraId="00000076" w14:textId="77777777" w:rsidR="008A7B8D" w:rsidRDefault="008A7B8D">
      <w:pPr>
        <w:jc w:val="both"/>
        <w:rPr>
          <w:sz w:val="20"/>
        </w:rPr>
      </w:pPr>
    </w:p>
    <w:p w14:paraId="00000077" w14:textId="77777777" w:rsidR="008A7B8D" w:rsidRDefault="00C51915">
      <w:pPr>
        <w:jc w:val="both"/>
        <w:rPr>
          <w:b/>
          <w:sz w:val="20"/>
        </w:rPr>
      </w:pPr>
      <w:r>
        <w:rPr>
          <w:b/>
          <w:sz w:val="20"/>
        </w:rPr>
        <w:lastRenderedPageBreak/>
        <w:t xml:space="preserve">Regular LIHEAP benefits received may not be used to pay for home energy costs incurred prior to the start of the LIHEAP application period. </w:t>
      </w:r>
    </w:p>
    <w:p w14:paraId="00000078" w14:textId="77777777" w:rsidR="008A7B8D" w:rsidRDefault="008A7B8D">
      <w:pPr>
        <w:jc w:val="both"/>
        <w:rPr>
          <w:b/>
          <w:sz w:val="20"/>
        </w:rPr>
      </w:pPr>
    </w:p>
    <w:p w14:paraId="00000079" w14:textId="77777777" w:rsidR="008A7B8D" w:rsidRDefault="00C51915">
      <w:pPr>
        <w:jc w:val="both"/>
        <w:rPr>
          <w:sz w:val="20"/>
        </w:rPr>
      </w:pPr>
      <w:r>
        <w:rPr>
          <w:b/>
          <w:sz w:val="20"/>
        </w:rPr>
        <w:t>If the eligible household resides in the Vendor’s customary service area, the Vendor cannot refuse to provide fuel that is paid for by the LIHEAP benefit (regardless of balance owed on the customers’ account) unless an unsafe condition would result or the tank is owned by another Vendor. Exceptions to the requirement for delivery by a Vendor may be approved by the Local Agency, in consultation with the Vendor, for circumstances that make delivery impossible and/or impractical, such as inclement weather, lack of available product, or other extenuating circumstances documented by the Vendor.</w:t>
      </w:r>
    </w:p>
    <w:p w14:paraId="0000007A" w14:textId="77777777" w:rsidR="008A7B8D" w:rsidRDefault="008A7B8D">
      <w:pPr>
        <w:jc w:val="both"/>
        <w:rPr>
          <w:sz w:val="20"/>
        </w:rPr>
      </w:pPr>
    </w:p>
    <w:p w14:paraId="0000007B" w14:textId="77777777" w:rsidR="008A7B8D" w:rsidRDefault="00C51915">
      <w:pPr>
        <w:jc w:val="both"/>
        <w:rPr>
          <w:sz w:val="20"/>
        </w:rPr>
      </w:pPr>
      <w:r>
        <w:rPr>
          <w:sz w:val="20"/>
        </w:rPr>
        <w:t>Any payment not accepted by the Vendor must be returned to the Local Agency within 5 business days of its receipt. Any duplicate payment for a household or an account must be reported to the Local Agency within 5 business days.</w:t>
      </w:r>
    </w:p>
    <w:p w14:paraId="0000007C" w14:textId="77777777" w:rsidR="008A7B8D" w:rsidRDefault="008A7B8D">
      <w:pPr>
        <w:jc w:val="both"/>
        <w:rPr>
          <w:sz w:val="20"/>
        </w:rPr>
      </w:pPr>
    </w:p>
    <w:p w14:paraId="0000007D" w14:textId="77777777" w:rsidR="008A7B8D" w:rsidRDefault="00C51915">
      <w:pPr>
        <w:jc w:val="both"/>
        <w:rPr>
          <w:sz w:val="20"/>
        </w:rPr>
      </w:pPr>
      <w:r>
        <w:rPr>
          <w:sz w:val="20"/>
        </w:rPr>
        <w:t>The Vendor will charge the approved household in its normal billing process the difference, if any, between the actual cost of the home energy and the amount of the payment made by the Local Agency.</w:t>
      </w:r>
    </w:p>
    <w:p w14:paraId="0000007E" w14:textId="77777777" w:rsidR="008A7B8D" w:rsidRDefault="008A7B8D">
      <w:pPr>
        <w:jc w:val="both"/>
        <w:rPr>
          <w:sz w:val="20"/>
        </w:rPr>
      </w:pPr>
    </w:p>
    <w:p w14:paraId="0000007F" w14:textId="77777777" w:rsidR="008A7B8D" w:rsidRDefault="00C51915">
      <w:pPr>
        <w:jc w:val="both"/>
        <w:rPr>
          <w:sz w:val="20"/>
          <w:u w:val="single"/>
        </w:rPr>
      </w:pPr>
      <w:r>
        <w:rPr>
          <w:sz w:val="20"/>
          <w:u w:val="single"/>
        </w:rPr>
        <w:t xml:space="preserve">4.00   </w:t>
      </w:r>
      <w:sdt>
        <w:sdtPr>
          <w:tag w:val="goog_rdk_0"/>
          <w:id w:val="283316383"/>
        </w:sdtPr>
        <w:sdtEndPr/>
        <w:sdtContent/>
      </w:sdt>
      <w:r>
        <w:rPr>
          <w:sz w:val="20"/>
          <w:u w:val="single"/>
        </w:rPr>
        <w:t>Vendor Receipt of Payment</w:t>
      </w:r>
    </w:p>
    <w:p w14:paraId="00000080" w14:textId="5FBCA826" w:rsidR="008A7B8D" w:rsidRDefault="00C51915">
      <w:pPr>
        <w:jc w:val="both"/>
        <w:rPr>
          <w:sz w:val="20"/>
          <w:u w:val="single"/>
        </w:rPr>
      </w:pPr>
      <w:r>
        <w:rPr>
          <w:sz w:val="20"/>
        </w:rPr>
        <w:t>Within 30 calendar days of the Vendor’s receipt of payment, the Vendor will provide to the Local Agency a receipt for the amount of payment received, using the State of Iowa Vendor Receipt provided to the Vendor by the agency</w:t>
      </w:r>
      <w:r w:rsidR="00B54C6A">
        <w:rPr>
          <w:sz w:val="20"/>
        </w:rPr>
        <w:t xml:space="preserve"> or via email acknowledgement</w:t>
      </w:r>
      <w:r>
        <w:rPr>
          <w:sz w:val="20"/>
        </w:rPr>
        <w:t>.</w:t>
      </w:r>
    </w:p>
    <w:p w14:paraId="00000081" w14:textId="77777777" w:rsidR="008A7B8D" w:rsidRDefault="008A7B8D">
      <w:pPr>
        <w:jc w:val="both"/>
        <w:rPr>
          <w:sz w:val="20"/>
          <w:u w:val="single"/>
        </w:rPr>
      </w:pPr>
    </w:p>
    <w:p w14:paraId="00000082" w14:textId="77777777" w:rsidR="008A7B8D" w:rsidRDefault="00C51915">
      <w:pPr>
        <w:jc w:val="both"/>
        <w:rPr>
          <w:sz w:val="20"/>
        </w:rPr>
      </w:pPr>
      <w:r>
        <w:rPr>
          <w:sz w:val="20"/>
        </w:rPr>
        <w:t>Payments received by Vendors for households participating in a budget billing or level-payment plan shall be applied to such level payment account in the full amount of the level payment bill, with any remaining assistance being applied toward future level payment bills until exhausted. A level payment amount shall not be adjusted nor shall a recipient be requested or required to withdraw from a level payment plan due to receipt of program assistance. Program assistance shall not be applied toward reducing any account balance in favor of the utility, which is in excess of accrued level payments.</w:t>
      </w:r>
    </w:p>
    <w:p w14:paraId="00000083" w14:textId="77777777" w:rsidR="008A7B8D" w:rsidRDefault="008A7B8D">
      <w:pPr>
        <w:jc w:val="both"/>
        <w:rPr>
          <w:sz w:val="20"/>
          <w:u w:val="single"/>
        </w:rPr>
      </w:pPr>
    </w:p>
    <w:p w14:paraId="00000084" w14:textId="77777777" w:rsidR="008A7B8D" w:rsidRDefault="00C51915">
      <w:pPr>
        <w:jc w:val="both"/>
        <w:rPr>
          <w:sz w:val="20"/>
          <w:u w:val="single"/>
        </w:rPr>
      </w:pPr>
      <w:r>
        <w:rPr>
          <w:sz w:val="20"/>
          <w:u w:val="single"/>
        </w:rPr>
        <w:t>5.00   New Customers with Vendor</w:t>
      </w:r>
    </w:p>
    <w:p w14:paraId="00000085" w14:textId="77777777" w:rsidR="008A7B8D" w:rsidRDefault="00C51915">
      <w:pPr>
        <w:jc w:val="both"/>
        <w:rPr>
          <w:sz w:val="20"/>
          <w:u w:val="single"/>
        </w:rPr>
      </w:pPr>
      <w:r>
        <w:rPr>
          <w:sz w:val="20"/>
        </w:rPr>
        <w:t>Vendor may require a new customer to complete an account application, including a customer credit check, as a condition of delivery of propane paid for with LIHEAP funds. The results of a credit check cannot be the basis for refusal of delivery paid for by LIHEAP funds.</w:t>
      </w:r>
    </w:p>
    <w:p w14:paraId="00000086" w14:textId="77777777" w:rsidR="008A7B8D" w:rsidRDefault="008A7B8D">
      <w:pPr>
        <w:jc w:val="both"/>
        <w:rPr>
          <w:sz w:val="20"/>
          <w:u w:val="single"/>
        </w:rPr>
      </w:pPr>
    </w:p>
    <w:p w14:paraId="00000087" w14:textId="77777777" w:rsidR="008A7B8D" w:rsidRDefault="00C51915">
      <w:pPr>
        <w:jc w:val="both"/>
        <w:rPr>
          <w:sz w:val="20"/>
          <w:u w:val="single"/>
        </w:rPr>
      </w:pPr>
      <w:r>
        <w:rPr>
          <w:sz w:val="20"/>
          <w:u w:val="single"/>
        </w:rPr>
        <w:t>6.00   Minimum Delivery</w:t>
      </w:r>
    </w:p>
    <w:p w14:paraId="00000088" w14:textId="13E67BB5" w:rsidR="008A7B8D" w:rsidRDefault="00C51915">
      <w:pPr>
        <w:jc w:val="both"/>
        <w:rPr>
          <w:sz w:val="20"/>
        </w:rPr>
      </w:pPr>
      <w:r>
        <w:rPr>
          <w:b/>
          <w:sz w:val="20"/>
        </w:rPr>
        <w:t>The deliverable fuel Vendor agree</w:t>
      </w:r>
      <w:r w:rsidR="003F0EBE">
        <w:rPr>
          <w:b/>
          <w:sz w:val="20"/>
        </w:rPr>
        <w:t>s</w:t>
      </w:r>
      <w:r>
        <w:rPr>
          <w:b/>
          <w:sz w:val="20"/>
        </w:rPr>
        <w:t xml:space="preserve"> to accept the</w:t>
      </w:r>
      <w:sdt>
        <w:sdtPr>
          <w:tag w:val="goog_rdk_1"/>
          <w:id w:val="-1897736656"/>
        </w:sdtPr>
        <w:sdtEndPr/>
        <w:sdtContent/>
      </w:sdt>
      <w:r>
        <w:rPr>
          <w:b/>
          <w:sz w:val="20"/>
        </w:rPr>
        <w:t xml:space="preserve"> $</w:t>
      </w:r>
      <w:r w:rsidR="006D4CA8">
        <w:rPr>
          <w:b/>
          <w:sz w:val="20"/>
        </w:rPr>
        <w:t>8</w:t>
      </w:r>
      <w:r>
        <w:rPr>
          <w:b/>
          <w:sz w:val="20"/>
        </w:rPr>
        <w:t>00 minimum LIHEAP benefit for deliverable fuel customers as meeting their requirement for minimum delivery.</w:t>
      </w:r>
      <w:r>
        <w:rPr>
          <w:sz w:val="20"/>
        </w:rPr>
        <w:t>  The delivery must be made within 48 business hours after order by the agency or eligible household,</w:t>
      </w:r>
      <w:r>
        <w:rPr>
          <w:color w:val="00B050"/>
          <w:sz w:val="20"/>
        </w:rPr>
        <w:t xml:space="preserve"> </w:t>
      </w:r>
      <w:r>
        <w:rPr>
          <w:sz w:val="20"/>
        </w:rPr>
        <w:t xml:space="preserve">with no additional charges.  </w:t>
      </w:r>
    </w:p>
    <w:p w14:paraId="00000089" w14:textId="77777777" w:rsidR="008A7B8D" w:rsidRDefault="008A7B8D">
      <w:pPr>
        <w:jc w:val="both"/>
        <w:rPr>
          <w:sz w:val="20"/>
          <w:u w:val="single"/>
        </w:rPr>
      </w:pPr>
    </w:p>
    <w:p w14:paraId="0000008A" w14:textId="77777777" w:rsidR="008A7B8D" w:rsidRDefault="00C51915">
      <w:pPr>
        <w:jc w:val="both"/>
        <w:rPr>
          <w:sz w:val="20"/>
          <w:u w:val="single"/>
        </w:rPr>
      </w:pPr>
      <w:r>
        <w:rPr>
          <w:sz w:val="20"/>
          <w:u w:val="single"/>
        </w:rPr>
        <w:t>7.00   Emergency Delivery</w:t>
      </w:r>
    </w:p>
    <w:p w14:paraId="0000008B" w14:textId="77777777" w:rsidR="008A7B8D" w:rsidRDefault="00C51915">
      <w:pPr>
        <w:jc w:val="both"/>
        <w:rPr>
          <w:sz w:val="20"/>
        </w:rPr>
      </w:pPr>
      <w:r>
        <w:rPr>
          <w:sz w:val="20"/>
        </w:rPr>
        <w:t>In the event of an emergency requiring delivery in less than 48 business hours for reasons such as an empty tank, etc., the Vendors’ customary charges will apply, including emergency delivery charges.  Vendor agrees to accept Local Agency payment guarantees by phone, fax, or email for emergency fills of deliverable fuels and upon such notification make delivery.</w:t>
      </w:r>
    </w:p>
    <w:p w14:paraId="0000008C" w14:textId="77777777" w:rsidR="008A7B8D" w:rsidRDefault="008A7B8D">
      <w:pPr>
        <w:jc w:val="both"/>
        <w:rPr>
          <w:sz w:val="20"/>
        </w:rPr>
      </w:pPr>
    </w:p>
    <w:p w14:paraId="0000008D" w14:textId="77777777" w:rsidR="008A7B8D" w:rsidRDefault="00C51915">
      <w:pPr>
        <w:jc w:val="both"/>
        <w:rPr>
          <w:sz w:val="20"/>
          <w:u w:val="single"/>
        </w:rPr>
      </w:pPr>
      <w:r>
        <w:rPr>
          <w:sz w:val="20"/>
          <w:u w:val="single"/>
        </w:rPr>
        <w:t>8.00   Customer Payment Plan</w:t>
      </w:r>
    </w:p>
    <w:p w14:paraId="0000008E" w14:textId="77777777" w:rsidR="008A7B8D" w:rsidRDefault="00C51915">
      <w:pPr>
        <w:jc w:val="both"/>
        <w:rPr>
          <w:sz w:val="20"/>
        </w:rPr>
      </w:pPr>
      <w:r>
        <w:rPr>
          <w:sz w:val="20"/>
        </w:rPr>
        <w:t xml:space="preserve">Vendor should </w:t>
      </w:r>
      <w:proofErr w:type="gramStart"/>
      <w:r>
        <w:rPr>
          <w:sz w:val="20"/>
        </w:rPr>
        <w:t>make an effort</w:t>
      </w:r>
      <w:proofErr w:type="gramEnd"/>
      <w:r>
        <w:rPr>
          <w:sz w:val="20"/>
        </w:rPr>
        <w:t xml:space="preserve"> to offer LIHEAP customers an affordable payment plan for any balance due on their account.</w:t>
      </w:r>
    </w:p>
    <w:p w14:paraId="0000008F" w14:textId="77777777" w:rsidR="008A7B8D" w:rsidRDefault="008A7B8D">
      <w:pPr>
        <w:jc w:val="both"/>
        <w:rPr>
          <w:sz w:val="20"/>
        </w:rPr>
      </w:pPr>
    </w:p>
    <w:p w14:paraId="00000090" w14:textId="77777777" w:rsidR="008A7B8D" w:rsidRDefault="00C51915">
      <w:pPr>
        <w:jc w:val="both"/>
        <w:rPr>
          <w:sz w:val="20"/>
          <w:u w:val="single"/>
        </w:rPr>
      </w:pPr>
      <w:r>
        <w:rPr>
          <w:sz w:val="20"/>
          <w:u w:val="single"/>
        </w:rPr>
        <w:t>9.00   Extending Credit to LIHEAP Customer</w:t>
      </w:r>
    </w:p>
    <w:p w14:paraId="00000091" w14:textId="77777777" w:rsidR="008A7B8D" w:rsidRDefault="00C51915">
      <w:pPr>
        <w:jc w:val="both"/>
        <w:rPr>
          <w:sz w:val="20"/>
        </w:rPr>
      </w:pPr>
      <w:r>
        <w:rPr>
          <w:sz w:val="20"/>
        </w:rPr>
        <w:t>This agreement does not require the Vendor to extend credit to a LIHEAP customer and the Vendor at its discretion may refuse delivery of additional fuel if the LIHEAP customer’s benefit is exhausted or there is no other means for payment for the fuel.</w:t>
      </w:r>
    </w:p>
    <w:p w14:paraId="00000092" w14:textId="77777777" w:rsidR="008A7B8D" w:rsidRDefault="008A7B8D">
      <w:pPr>
        <w:jc w:val="both"/>
        <w:rPr>
          <w:sz w:val="20"/>
        </w:rPr>
      </w:pPr>
    </w:p>
    <w:p w14:paraId="00000093" w14:textId="77777777" w:rsidR="008A7B8D" w:rsidRDefault="00C51915">
      <w:pPr>
        <w:jc w:val="both"/>
        <w:rPr>
          <w:sz w:val="20"/>
          <w:u w:val="single"/>
        </w:rPr>
      </w:pPr>
      <w:r>
        <w:rPr>
          <w:sz w:val="20"/>
          <w:u w:val="single"/>
        </w:rPr>
        <w:t>10.00   Continuous Access to Home Heating</w:t>
      </w:r>
    </w:p>
    <w:p w14:paraId="00000094" w14:textId="77777777" w:rsidR="008A7B8D" w:rsidRDefault="00C51915">
      <w:pPr>
        <w:jc w:val="both"/>
        <w:rPr>
          <w:sz w:val="20"/>
        </w:rPr>
      </w:pPr>
      <w:r>
        <w:rPr>
          <w:sz w:val="20"/>
        </w:rPr>
        <w:t xml:space="preserve">The Local Agency and Vendor will collaborate and to the extent practicable attempt to ensure the customer has continuous access to home heating.  </w:t>
      </w:r>
    </w:p>
    <w:p w14:paraId="00000095" w14:textId="77777777" w:rsidR="008A7B8D" w:rsidRDefault="008A7B8D">
      <w:pPr>
        <w:jc w:val="both"/>
        <w:rPr>
          <w:sz w:val="20"/>
        </w:rPr>
      </w:pPr>
    </w:p>
    <w:p w14:paraId="00000096" w14:textId="77777777" w:rsidR="008A7B8D" w:rsidRDefault="00C51915">
      <w:pPr>
        <w:jc w:val="both"/>
        <w:rPr>
          <w:sz w:val="20"/>
          <w:u w:val="single"/>
        </w:rPr>
      </w:pPr>
      <w:r>
        <w:rPr>
          <w:sz w:val="20"/>
          <w:u w:val="single"/>
        </w:rPr>
        <w:t>11.00   Payments from Households</w:t>
      </w:r>
    </w:p>
    <w:p w14:paraId="00000097" w14:textId="77777777" w:rsidR="008A7B8D" w:rsidRDefault="00C51915">
      <w:pPr>
        <w:jc w:val="both"/>
        <w:rPr>
          <w:sz w:val="20"/>
          <w:u w:val="single"/>
        </w:rPr>
      </w:pPr>
      <w:r>
        <w:rPr>
          <w:sz w:val="20"/>
        </w:rPr>
        <w:t>The Local Agency and Vendor will encourage regular monthly payments from households, including use of budget billing.</w:t>
      </w:r>
    </w:p>
    <w:p w14:paraId="00000098" w14:textId="77777777" w:rsidR="008A7B8D" w:rsidRDefault="008A7B8D">
      <w:pPr>
        <w:jc w:val="both"/>
        <w:rPr>
          <w:sz w:val="20"/>
          <w:u w:val="single"/>
        </w:rPr>
      </w:pPr>
    </w:p>
    <w:p w14:paraId="00000099" w14:textId="77777777" w:rsidR="008A7B8D" w:rsidRDefault="00C51915">
      <w:pPr>
        <w:jc w:val="both"/>
        <w:rPr>
          <w:sz w:val="20"/>
          <w:u w:val="single"/>
        </w:rPr>
      </w:pPr>
      <w:r>
        <w:rPr>
          <w:sz w:val="20"/>
          <w:u w:val="single"/>
        </w:rPr>
        <w:lastRenderedPageBreak/>
        <w:t>12.00   Price List</w:t>
      </w:r>
    </w:p>
    <w:p w14:paraId="0000009A" w14:textId="77777777" w:rsidR="008A7B8D" w:rsidRDefault="00C51915">
      <w:pPr>
        <w:jc w:val="both"/>
        <w:rPr>
          <w:sz w:val="20"/>
        </w:rPr>
      </w:pPr>
      <w:r>
        <w:rPr>
          <w:sz w:val="20"/>
        </w:rPr>
        <w:t xml:space="preserve">A price list of routine services that are normal and customary </w:t>
      </w:r>
      <w:r>
        <w:rPr>
          <w:sz w:val="20"/>
          <w:u w:val="single"/>
        </w:rPr>
        <w:t>must</w:t>
      </w:r>
      <w:r>
        <w:rPr>
          <w:sz w:val="20"/>
        </w:rPr>
        <w:t xml:space="preserve"> be attached to this agreement (i.e., pressure check, safety/leak seek test, regulator replacement, after hours/same day/non-routine delivery, and other). </w:t>
      </w:r>
    </w:p>
    <w:p w14:paraId="0000009B" w14:textId="77777777" w:rsidR="008A7B8D" w:rsidRDefault="008A7B8D">
      <w:pPr>
        <w:jc w:val="both"/>
        <w:rPr>
          <w:sz w:val="20"/>
        </w:rPr>
      </w:pPr>
    </w:p>
    <w:p w14:paraId="0000009C" w14:textId="77777777" w:rsidR="008A7B8D" w:rsidRDefault="00C51915">
      <w:pPr>
        <w:jc w:val="both"/>
        <w:rPr>
          <w:sz w:val="20"/>
          <w:u w:val="single"/>
        </w:rPr>
      </w:pPr>
      <w:r>
        <w:rPr>
          <w:sz w:val="20"/>
          <w:u w:val="single"/>
        </w:rPr>
        <w:t>13.00   Confidentiality</w:t>
      </w:r>
    </w:p>
    <w:p w14:paraId="0000009D" w14:textId="77777777" w:rsidR="008A7B8D" w:rsidRDefault="00C51915">
      <w:pPr>
        <w:jc w:val="both"/>
        <w:rPr>
          <w:sz w:val="20"/>
        </w:rPr>
      </w:pPr>
      <w:r>
        <w:rPr>
          <w:sz w:val="20"/>
        </w:rPr>
        <w:t>Information regarding applicants and beneficiaries under this program must remain confidential subject only to the limited release of information by the Vendor to the Local Agency and the State of Iowa. The Vendor agrees to keep confidential the names and all other information pertaining to the clients served, including financial status, lifestyles, and housing conditions.</w:t>
      </w:r>
    </w:p>
    <w:p w14:paraId="0000009E" w14:textId="77777777" w:rsidR="008A7B8D" w:rsidRDefault="008A7B8D">
      <w:pPr>
        <w:jc w:val="both"/>
        <w:rPr>
          <w:sz w:val="20"/>
        </w:rPr>
      </w:pPr>
    </w:p>
    <w:p w14:paraId="0000009F" w14:textId="77777777" w:rsidR="008A7B8D" w:rsidRDefault="00C51915">
      <w:pPr>
        <w:jc w:val="both"/>
        <w:rPr>
          <w:sz w:val="20"/>
          <w:u w:val="single"/>
        </w:rPr>
      </w:pPr>
      <w:r>
        <w:rPr>
          <w:sz w:val="20"/>
          <w:u w:val="single"/>
        </w:rPr>
        <w:t>14.00   Non-Discrimination</w:t>
      </w:r>
    </w:p>
    <w:p w14:paraId="000000A0" w14:textId="77777777" w:rsidR="008A7B8D" w:rsidRDefault="00C51915">
      <w:pPr>
        <w:jc w:val="both"/>
        <w:rPr>
          <w:sz w:val="20"/>
        </w:rPr>
      </w:pPr>
      <w:r>
        <w:rPr>
          <w:sz w:val="20"/>
        </w:rPr>
        <w:t>The eligible household will not be treated adversely from other households because of receiving assistance under the Iowa Low-Income Home Energy Assistance Program. The Vendor agrees not to discriminate either in cost of goods supplied or services provided, against the eligible household on whose behalf payments are made.</w:t>
      </w:r>
    </w:p>
    <w:p w14:paraId="000000A1" w14:textId="77777777" w:rsidR="008A7B8D" w:rsidRDefault="008A7B8D">
      <w:pPr>
        <w:jc w:val="both"/>
        <w:rPr>
          <w:sz w:val="20"/>
          <w:u w:val="single"/>
        </w:rPr>
      </w:pPr>
    </w:p>
    <w:p w14:paraId="000000A2" w14:textId="77777777" w:rsidR="008A7B8D" w:rsidRDefault="00C51915">
      <w:pPr>
        <w:jc w:val="both"/>
        <w:rPr>
          <w:sz w:val="20"/>
          <w:u w:val="single"/>
        </w:rPr>
      </w:pPr>
      <w:r>
        <w:rPr>
          <w:sz w:val="20"/>
          <w:u w:val="single"/>
        </w:rPr>
        <w:t>15.00   Termination of Customer Account</w:t>
      </w:r>
    </w:p>
    <w:p w14:paraId="000000A3" w14:textId="716C6906" w:rsidR="008A7B8D" w:rsidRDefault="00C51915">
      <w:pPr>
        <w:jc w:val="both"/>
        <w:rPr>
          <w:sz w:val="20"/>
        </w:rPr>
      </w:pPr>
      <w:r>
        <w:rPr>
          <w:sz w:val="20"/>
        </w:rPr>
        <w:t xml:space="preserve">If a household terminates its account or changes Vendors prior to termination of this agreement, the Vendor shall contact the Local Agency within 30 calendar days to reconcile the existing account and to determine the distribution of any remaining funds. No funds paid under this program may be returned directly to any client without written authorization from the agency. A credit balance on the account is to be returned to the agency within 30 calendar days. </w:t>
      </w:r>
    </w:p>
    <w:p w14:paraId="000000A4" w14:textId="77777777" w:rsidR="008A7B8D" w:rsidRDefault="008A7B8D">
      <w:pPr>
        <w:jc w:val="both"/>
        <w:rPr>
          <w:sz w:val="20"/>
        </w:rPr>
      </w:pPr>
    </w:p>
    <w:p w14:paraId="000000A5" w14:textId="77777777" w:rsidR="008A7B8D" w:rsidRDefault="00C51915">
      <w:pPr>
        <w:jc w:val="both"/>
        <w:rPr>
          <w:sz w:val="20"/>
          <w:u w:val="single"/>
        </w:rPr>
      </w:pPr>
      <w:r>
        <w:rPr>
          <w:sz w:val="20"/>
          <w:u w:val="single"/>
        </w:rPr>
        <w:t>16.00   Records</w:t>
      </w:r>
    </w:p>
    <w:p w14:paraId="000000A6" w14:textId="77777777" w:rsidR="008A7B8D" w:rsidRDefault="00C51915">
      <w:pPr>
        <w:jc w:val="both"/>
        <w:rPr>
          <w:sz w:val="20"/>
        </w:rPr>
      </w:pPr>
      <w:r>
        <w:rPr>
          <w:sz w:val="20"/>
        </w:rPr>
        <w:t>The Vendor will maintain an accounting system and fiscal records covering all activities under this agreement. The Vendor’s records must include:</w:t>
      </w:r>
    </w:p>
    <w:p w14:paraId="000000A7"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The amount of payments made on behalf of eligible households by the Local Agency;</w:t>
      </w:r>
    </w:p>
    <w:p w14:paraId="000000A8"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Each date and amount of fuel delivered to eligible households, using LIHEAP funds, including the cost per gallon;</w:t>
      </w:r>
    </w:p>
    <w:p w14:paraId="000000A9"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Any LIHEAP payment credit remaining on the eligible household’s account.</w:t>
      </w:r>
    </w:p>
    <w:p w14:paraId="000000AA" w14:textId="77777777" w:rsidR="008A7B8D" w:rsidRDefault="008A7B8D">
      <w:pPr>
        <w:ind w:left="720"/>
        <w:jc w:val="both"/>
        <w:rPr>
          <w:sz w:val="20"/>
        </w:rPr>
      </w:pPr>
    </w:p>
    <w:p w14:paraId="000000AB" w14:textId="77777777" w:rsidR="008A7B8D" w:rsidRDefault="00C51915">
      <w:pPr>
        <w:jc w:val="both"/>
        <w:rPr>
          <w:sz w:val="20"/>
        </w:rPr>
      </w:pPr>
      <w:r>
        <w:rPr>
          <w:sz w:val="20"/>
        </w:rPr>
        <w:t>The Vendor shall retain these records for four years from the end date of this agreement.</w:t>
      </w:r>
    </w:p>
    <w:p w14:paraId="000000AC" w14:textId="77777777" w:rsidR="008A7B8D" w:rsidRDefault="008A7B8D">
      <w:pPr>
        <w:jc w:val="both"/>
        <w:rPr>
          <w:sz w:val="20"/>
        </w:rPr>
      </w:pPr>
    </w:p>
    <w:p w14:paraId="000000AD" w14:textId="77777777" w:rsidR="008A7B8D" w:rsidRDefault="00C51915">
      <w:pPr>
        <w:jc w:val="both"/>
        <w:rPr>
          <w:sz w:val="20"/>
        </w:rPr>
      </w:pPr>
      <w:r>
        <w:rPr>
          <w:sz w:val="20"/>
        </w:rPr>
        <w:t>The Vendor, upon written request from the eligible household, Local Agency, State of Iowa, or other designated representative, will provide a status report indicating the above information.</w:t>
      </w:r>
    </w:p>
    <w:p w14:paraId="000000AE" w14:textId="77777777" w:rsidR="008A7B8D" w:rsidRDefault="008A7B8D">
      <w:pPr>
        <w:jc w:val="both"/>
        <w:rPr>
          <w:sz w:val="20"/>
        </w:rPr>
      </w:pPr>
    </w:p>
    <w:p w14:paraId="000000AF" w14:textId="77777777" w:rsidR="008A7B8D" w:rsidRDefault="00C51915">
      <w:pPr>
        <w:jc w:val="both"/>
        <w:rPr>
          <w:sz w:val="20"/>
        </w:rPr>
      </w:pPr>
      <w:r>
        <w:rPr>
          <w:sz w:val="20"/>
        </w:rPr>
        <w:t>Vendor will assist the Local Agency and State of Iowa in collecting data concerning information on home energy consumption, amount and cost of fuels used for households eligible for Weatherization assistance, or such other data as the state determines is reasonably necessary.</w:t>
      </w:r>
    </w:p>
    <w:p w14:paraId="000000B0" w14:textId="77777777" w:rsidR="008A7B8D" w:rsidRDefault="008A7B8D">
      <w:pPr>
        <w:jc w:val="both"/>
        <w:rPr>
          <w:sz w:val="20"/>
        </w:rPr>
      </w:pPr>
    </w:p>
    <w:p w14:paraId="000000B1" w14:textId="77777777" w:rsidR="008A7B8D" w:rsidRDefault="00C51915">
      <w:pPr>
        <w:tabs>
          <w:tab w:val="left" w:pos="0"/>
          <w:tab w:val="left" w:pos="270"/>
        </w:tabs>
        <w:ind w:right="-360"/>
        <w:jc w:val="both"/>
        <w:rPr>
          <w:color w:val="000000"/>
          <w:sz w:val="20"/>
          <w:u w:val="single"/>
        </w:rPr>
      </w:pPr>
      <w:r>
        <w:rPr>
          <w:color w:val="000000"/>
          <w:sz w:val="20"/>
          <w:u w:val="single"/>
        </w:rPr>
        <w:t>17.00   Reconciliation of LIHEAP Pre-Paid Account</w:t>
      </w:r>
    </w:p>
    <w:p w14:paraId="000000B2" w14:textId="77777777" w:rsidR="008A7B8D" w:rsidRDefault="00C51915">
      <w:pPr>
        <w:tabs>
          <w:tab w:val="left" w:pos="0"/>
          <w:tab w:val="left" w:pos="270"/>
        </w:tabs>
        <w:ind w:right="-360"/>
        <w:jc w:val="both"/>
        <w:rPr>
          <w:sz w:val="20"/>
        </w:rPr>
      </w:pPr>
      <w:r>
        <w:rPr>
          <w:color w:val="000000"/>
          <w:sz w:val="20"/>
        </w:rPr>
        <w:t xml:space="preserve">Within 45 calendar days after the end of the application period, using the LIHEAP Reconciliation Spreadsheet, a reconciliation will be made of the LIHEAP Pre-Paid account to assure agreement </w:t>
      </w:r>
      <w:r>
        <w:rPr>
          <w:sz w:val="20"/>
        </w:rPr>
        <w:t>between the Vendor and the Local Agency regarding the use of funds. Should the Vendor encounter issues with completing the spreadsheet, the Vendor should contact the Local Agency for assistance.  The LIHEAP Reconciliation Spreadsheet includes:</w:t>
      </w:r>
    </w:p>
    <w:p w14:paraId="000000B3"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The amount of payments made on behalf of the eligible households by the Local Agency;</w:t>
      </w:r>
    </w:p>
    <w:p w14:paraId="000000B4"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Each date and amount of fuel delivered to eligible households, using LIHEAP funds, including the cost per gallon;</w:t>
      </w:r>
    </w:p>
    <w:p w14:paraId="000000B5" w14:textId="77777777" w:rsidR="008A7B8D" w:rsidRDefault="00C51915">
      <w:pPr>
        <w:numPr>
          <w:ilvl w:val="0"/>
          <w:numId w:val="1"/>
        </w:numPr>
        <w:pBdr>
          <w:top w:val="nil"/>
          <w:left w:val="nil"/>
          <w:bottom w:val="nil"/>
          <w:right w:val="nil"/>
          <w:between w:val="nil"/>
        </w:pBdr>
        <w:jc w:val="both"/>
        <w:rPr>
          <w:color w:val="000000"/>
          <w:sz w:val="20"/>
        </w:rPr>
      </w:pPr>
      <w:r>
        <w:rPr>
          <w:color w:val="000000"/>
          <w:sz w:val="20"/>
        </w:rPr>
        <w:t>Any LIHEAP payment credit remaining on the eligible household’s account. Remaining credit cannot be written-off by the Vendor and must remain as a credit.</w:t>
      </w:r>
    </w:p>
    <w:p w14:paraId="000000B6" w14:textId="77777777" w:rsidR="008A7B8D" w:rsidRDefault="008A7B8D">
      <w:pPr>
        <w:tabs>
          <w:tab w:val="left" w:pos="0"/>
          <w:tab w:val="left" w:pos="270"/>
        </w:tabs>
        <w:ind w:right="-360"/>
        <w:jc w:val="both"/>
        <w:rPr>
          <w:sz w:val="20"/>
        </w:rPr>
      </w:pPr>
    </w:p>
    <w:p w14:paraId="000000B7" w14:textId="77777777" w:rsidR="008A7B8D" w:rsidRDefault="00C51915">
      <w:pPr>
        <w:tabs>
          <w:tab w:val="left" w:pos="0"/>
          <w:tab w:val="left" w:pos="270"/>
        </w:tabs>
        <w:ind w:right="-360"/>
        <w:jc w:val="both"/>
        <w:rPr>
          <w:sz w:val="20"/>
        </w:rPr>
      </w:pPr>
      <w:r>
        <w:rPr>
          <w:sz w:val="20"/>
        </w:rPr>
        <w:t>The Local Agency may request the above information more often.</w:t>
      </w:r>
    </w:p>
    <w:p w14:paraId="000000B8" w14:textId="77777777" w:rsidR="008A7B8D" w:rsidRDefault="008A7B8D">
      <w:pPr>
        <w:jc w:val="both"/>
        <w:rPr>
          <w:sz w:val="20"/>
        </w:rPr>
      </w:pPr>
    </w:p>
    <w:p w14:paraId="000000B9" w14:textId="77777777" w:rsidR="008A7B8D" w:rsidRDefault="00C51915">
      <w:pPr>
        <w:ind w:right="-1260"/>
        <w:jc w:val="both"/>
        <w:rPr>
          <w:sz w:val="20"/>
          <w:u w:val="single"/>
        </w:rPr>
      </w:pPr>
      <w:r>
        <w:rPr>
          <w:sz w:val="20"/>
          <w:u w:val="single"/>
        </w:rPr>
        <w:t>18.00   Site Visits</w:t>
      </w:r>
    </w:p>
    <w:p w14:paraId="000000BA" w14:textId="77777777" w:rsidR="008A7B8D" w:rsidRDefault="00C51915">
      <w:pPr>
        <w:jc w:val="both"/>
        <w:rPr>
          <w:sz w:val="20"/>
          <w:u w:val="single"/>
        </w:rPr>
      </w:pPr>
      <w:r>
        <w:rPr>
          <w:sz w:val="20"/>
        </w:rPr>
        <w:t>The State of Iowa and HHS authorized representatives reserve the right to monitor the use of funds by the participating Vendor in order to evaluate compliance with the provisions of this agreement.</w:t>
      </w:r>
    </w:p>
    <w:p w14:paraId="6098B605" w14:textId="77777777" w:rsidR="003A5072" w:rsidRDefault="003A5072">
      <w:pPr>
        <w:jc w:val="both"/>
        <w:rPr>
          <w:sz w:val="20"/>
          <w:u w:val="single"/>
        </w:rPr>
      </w:pPr>
    </w:p>
    <w:p w14:paraId="000000BC" w14:textId="7122D6D6" w:rsidR="008A7B8D" w:rsidRDefault="00C51915">
      <w:pPr>
        <w:jc w:val="both"/>
        <w:rPr>
          <w:sz w:val="20"/>
          <w:u w:val="single"/>
        </w:rPr>
      </w:pPr>
      <w:r>
        <w:rPr>
          <w:sz w:val="20"/>
          <w:u w:val="single"/>
        </w:rPr>
        <w:t>19.00   Termination of Agreement</w:t>
      </w:r>
    </w:p>
    <w:p w14:paraId="000000BD" w14:textId="77777777" w:rsidR="008A7B8D" w:rsidRDefault="00C51915">
      <w:pPr>
        <w:jc w:val="both"/>
        <w:rPr>
          <w:sz w:val="20"/>
        </w:rPr>
      </w:pPr>
      <w:r>
        <w:rPr>
          <w:sz w:val="20"/>
        </w:rPr>
        <w:t xml:space="preserve">The Local Agency may terminate this agreement upon written notice for the breach by the Vendor of any material term, condition or provision of this agreement. Either the Local Agency or the Vendor may terminate this agreement by giving the other party at least 30 calendar days written notice. </w:t>
      </w:r>
    </w:p>
    <w:p w14:paraId="000000BE" w14:textId="77777777" w:rsidR="008A7B8D" w:rsidRDefault="008A7B8D">
      <w:pPr>
        <w:jc w:val="both"/>
        <w:rPr>
          <w:sz w:val="20"/>
        </w:rPr>
      </w:pPr>
    </w:p>
    <w:p w14:paraId="000000BF" w14:textId="77777777" w:rsidR="008A7B8D" w:rsidRDefault="00C51915">
      <w:pPr>
        <w:jc w:val="both"/>
        <w:rPr>
          <w:sz w:val="20"/>
        </w:rPr>
      </w:pPr>
      <w:r>
        <w:rPr>
          <w:sz w:val="20"/>
        </w:rPr>
        <w:t xml:space="preserve">Upon termination of the agreement by either party or upon expiration of the agreement, the Vendor shall, within 5 business days, remit to the Local Agency any unexpended funds paid to the Vendor. </w:t>
      </w:r>
    </w:p>
    <w:p w14:paraId="000000C0" w14:textId="77777777" w:rsidR="008A7B8D" w:rsidRDefault="008A7B8D">
      <w:pPr>
        <w:jc w:val="both"/>
        <w:rPr>
          <w:sz w:val="20"/>
        </w:rPr>
      </w:pPr>
    </w:p>
    <w:p w14:paraId="000000C1" w14:textId="77777777" w:rsidR="008A7B8D" w:rsidRDefault="00C51915">
      <w:pPr>
        <w:jc w:val="both"/>
        <w:rPr>
          <w:sz w:val="20"/>
        </w:rPr>
      </w:pPr>
      <w:r>
        <w:rPr>
          <w:sz w:val="20"/>
        </w:rPr>
        <w:t>The Vendor shall provide a full accounting of the funds subject to this agreement within 30 calendar days of termination or expiration of the agreement.</w:t>
      </w:r>
    </w:p>
    <w:p w14:paraId="000000C2" w14:textId="77777777" w:rsidR="008A7B8D" w:rsidRDefault="008A7B8D">
      <w:pPr>
        <w:jc w:val="both"/>
        <w:rPr>
          <w:sz w:val="20"/>
        </w:rPr>
      </w:pPr>
    </w:p>
    <w:p w14:paraId="000000C3" w14:textId="77777777" w:rsidR="008A7B8D" w:rsidRDefault="008A7B8D">
      <w:pPr>
        <w:jc w:val="both"/>
        <w:rPr>
          <w:sz w:val="20"/>
        </w:rPr>
      </w:pPr>
    </w:p>
    <w:tbl>
      <w:tblPr>
        <w:tblStyle w:val="a0"/>
        <w:tblW w:w="10795" w:type="dxa"/>
        <w:tblBorders>
          <w:top w:val="nil"/>
          <w:left w:val="nil"/>
          <w:bottom w:val="nil"/>
          <w:right w:val="nil"/>
          <w:insideH w:val="nil"/>
          <w:insideV w:val="nil"/>
        </w:tblBorders>
        <w:tblLayout w:type="fixed"/>
        <w:tblLook w:val="0400" w:firstRow="0" w:lastRow="0" w:firstColumn="0" w:lastColumn="0" w:noHBand="0" w:noVBand="1"/>
      </w:tblPr>
      <w:tblGrid>
        <w:gridCol w:w="4675"/>
        <w:gridCol w:w="1080"/>
        <w:gridCol w:w="5040"/>
      </w:tblGrid>
      <w:tr w:rsidR="008A7B8D" w14:paraId="0244FAB2" w14:textId="77777777">
        <w:tc>
          <w:tcPr>
            <w:tcW w:w="4675" w:type="dxa"/>
            <w:tcBorders>
              <w:bottom w:val="single" w:sz="4" w:space="0" w:color="000000"/>
            </w:tcBorders>
          </w:tcPr>
          <w:p w14:paraId="000000C4" w14:textId="77777777" w:rsidR="008A7B8D" w:rsidRDefault="008A7B8D">
            <w:pPr>
              <w:jc w:val="both"/>
              <w:rPr>
                <w:sz w:val="20"/>
              </w:rPr>
            </w:pPr>
          </w:p>
        </w:tc>
        <w:tc>
          <w:tcPr>
            <w:tcW w:w="1080" w:type="dxa"/>
          </w:tcPr>
          <w:p w14:paraId="000000C5" w14:textId="77777777" w:rsidR="008A7B8D" w:rsidRDefault="008A7B8D">
            <w:pPr>
              <w:jc w:val="both"/>
              <w:rPr>
                <w:sz w:val="20"/>
              </w:rPr>
            </w:pPr>
          </w:p>
        </w:tc>
        <w:tc>
          <w:tcPr>
            <w:tcW w:w="5040" w:type="dxa"/>
            <w:tcBorders>
              <w:bottom w:val="single" w:sz="4" w:space="0" w:color="000000"/>
            </w:tcBorders>
          </w:tcPr>
          <w:p w14:paraId="000000C6" w14:textId="77777777" w:rsidR="008A7B8D" w:rsidRDefault="008A7B8D">
            <w:pPr>
              <w:jc w:val="both"/>
              <w:rPr>
                <w:sz w:val="20"/>
              </w:rPr>
            </w:pPr>
          </w:p>
        </w:tc>
      </w:tr>
      <w:tr w:rsidR="008A7B8D" w14:paraId="5A65441D" w14:textId="77777777">
        <w:tc>
          <w:tcPr>
            <w:tcW w:w="4675" w:type="dxa"/>
            <w:tcBorders>
              <w:top w:val="single" w:sz="4" w:space="0" w:color="000000"/>
            </w:tcBorders>
          </w:tcPr>
          <w:p w14:paraId="000000C7" w14:textId="5AFDAC40" w:rsidR="008A7B8D" w:rsidRDefault="00C51915">
            <w:pPr>
              <w:jc w:val="both"/>
              <w:rPr>
                <w:sz w:val="16"/>
                <w:szCs w:val="16"/>
              </w:rPr>
            </w:pPr>
            <w:r>
              <w:rPr>
                <w:sz w:val="16"/>
                <w:szCs w:val="16"/>
              </w:rPr>
              <w:t>Vendor</w:t>
            </w:r>
          </w:p>
        </w:tc>
        <w:tc>
          <w:tcPr>
            <w:tcW w:w="1080" w:type="dxa"/>
          </w:tcPr>
          <w:p w14:paraId="000000C8" w14:textId="77777777" w:rsidR="008A7B8D" w:rsidRDefault="008A7B8D">
            <w:pPr>
              <w:jc w:val="both"/>
              <w:rPr>
                <w:sz w:val="16"/>
                <w:szCs w:val="16"/>
              </w:rPr>
            </w:pPr>
          </w:p>
        </w:tc>
        <w:tc>
          <w:tcPr>
            <w:tcW w:w="5040" w:type="dxa"/>
            <w:tcBorders>
              <w:top w:val="single" w:sz="4" w:space="0" w:color="000000"/>
            </w:tcBorders>
          </w:tcPr>
          <w:p w14:paraId="000000C9" w14:textId="22AB4A4A" w:rsidR="008A7B8D" w:rsidRDefault="00C51915">
            <w:pPr>
              <w:jc w:val="both"/>
              <w:rPr>
                <w:sz w:val="16"/>
                <w:szCs w:val="16"/>
              </w:rPr>
            </w:pPr>
            <w:r>
              <w:rPr>
                <w:sz w:val="16"/>
                <w:szCs w:val="16"/>
              </w:rPr>
              <w:t>Local Agency</w:t>
            </w:r>
          </w:p>
        </w:tc>
      </w:tr>
      <w:tr w:rsidR="008A7B8D" w14:paraId="79F2EAA4" w14:textId="77777777">
        <w:tc>
          <w:tcPr>
            <w:tcW w:w="4675" w:type="dxa"/>
            <w:tcBorders>
              <w:bottom w:val="single" w:sz="4" w:space="0" w:color="000000"/>
            </w:tcBorders>
          </w:tcPr>
          <w:p w14:paraId="000000CA" w14:textId="77777777" w:rsidR="008A7B8D" w:rsidRDefault="008A7B8D">
            <w:pPr>
              <w:jc w:val="both"/>
              <w:rPr>
                <w:sz w:val="20"/>
              </w:rPr>
            </w:pPr>
          </w:p>
        </w:tc>
        <w:tc>
          <w:tcPr>
            <w:tcW w:w="1080" w:type="dxa"/>
          </w:tcPr>
          <w:p w14:paraId="000000CB" w14:textId="77777777" w:rsidR="008A7B8D" w:rsidRDefault="008A7B8D">
            <w:pPr>
              <w:jc w:val="both"/>
              <w:rPr>
                <w:sz w:val="20"/>
              </w:rPr>
            </w:pPr>
          </w:p>
        </w:tc>
        <w:tc>
          <w:tcPr>
            <w:tcW w:w="5040" w:type="dxa"/>
            <w:tcBorders>
              <w:bottom w:val="single" w:sz="4" w:space="0" w:color="000000"/>
            </w:tcBorders>
          </w:tcPr>
          <w:p w14:paraId="000000CC" w14:textId="77777777" w:rsidR="008A7B8D" w:rsidRDefault="008A7B8D">
            <w:pPr>
              <w:jc w:val="both"/>
              <w:rPr>
                <w:sz w:val="20"/>
              </w:rPr>
            </w:pPr>
          </w:p>
        </w:tc>
      </w:tr>
      <w:tr w:rsidR="008A7B8D" w14:paraId="77209B2C" w14:textId="77777777">
        <w:tc>
          <w:tcPr>
            <w:tcW w:w="4675" w:type="dxa"/>
            <w:tcBorders>
              <w:top w:val="single" w:sz="4" w:space="0" w:color="000000"/>
            </w:tcBorders>
          </w:tcPr>
          <w:p w14:paraId="000000CD" w14:textId="77777777" w:rsidR="008A7B8D" w:rsidRDefault="00C51915">
            <w:pPr>
              <w:jc w:val="both"/>
              <w:rPr>
                <w:sz w:val="16"/>
                <w:szCs w:val="16"/>
              </w:rPr>
            </w:pPr>
            <w:r>
              <w:rPr>
                <w:sz w:val="16"/>
                <w:szCs w:val="16"/>
              </w:rPr>
              <w:t>Vendor Authorized Individual (printed name)</w:t>
            </w:r>
          </w:p>
        </w:tc>
        <w:tc>
          <w:tcPr>
            <w:tcW w:w="1080" w:type="dxa"/>
          </w:tcPr>
          <w:p w14:paraId="000000CE" w14:textId="77777777" w:rsidR="008A7B8D" w:rsidRDefault="008A7B8D">
            <w:pPr>
              <w:jc w:val="both"/>
              <w:rPr>
                <w:sz w:val="16"/>
                <w:szCs w:val="16"/>
              </w:rPr>
            </w:pPr>
          </w:p>
        </w:tc>
        <w:tc>
          <w:tcPr>
            <w:tcW w:w="5040" w:type="dxa"/>
            <w:tcBorders>
              <w:top w:val="single" w:sz="4" w:space="0" w:color="000000"/>
            </w:tcBorders>
          </w:tcPr>
          <w:p w14:paraId="000000CF" w14:textId="77777777" w:rsidR="008A7B8D" w:rsidRDefault="00C51915">
            <w:pPr>
              <w:jc w:val="both"/>
              <w:rPr>
                <w:sz w:val="16"/>
                <w:szCs w:val="16"/>
              </w:rPr>
            </w:pPr>
            <w:r>
              <w:rPr>
                <w:sz w:val="16"/>
                <w:szCs w:val="16"/>
              </w:rPr>
              <w:t>Local Agency Director (printed name)</w:t>
            </w:r>
          </w:p>
        </w:tc>
      </w:tr>
      <w:tr w:rsidR="008A7B8D" w14:paraId="38EDE218" w14:textId="77777777">
        <w:tc>
          <w:tcPr>
            <w:tcW w:w="4675" w:type="dxa"/>
            <w:tcBorders>
              <w:bottom w:val="single" w:sz="4" w:space="0" w:color="000000"/>
            </w:tcBorders>
          </w:tcPr>
          <w:p w14:paraId="000000D0" w14:textId="77777777" w:rsidR="008A7B8D" w:rsidRDefault="008A7B8D">
            <w:pPr>
              <w:jc w:val="both"/>
              <w:rPr>
                <w:sz w:val="20"/>
              </w:rPr>
            </w:pPr>
          </w:p>
        </w:tc>
        <w:tc>
          <w:tcPr>
            <w:tcW w:w="1080" w:type="dxa"/>
          </w:tcPr>
          <w:p w14:paraId="000000D1" w14:textId="77777777" w:rsidR="008A7B8D" w:rsidRDefault="008A7B8D">
            <w:pPr>
              <w:jc w:val="both"/>
              <w:rPr>
                <w:sz w:val="20"/>
              </w:rPr>
            </w:pPr>
          </w:p>
        </w:tc>
        <w:tc>
          <w:tcPr>
            <w:tcW w:w="5040" w:type="dxa"/>
            <w:tcBorders>
              <w:bottom w:val="single" w:sz="4" w:space="0" w:color="000000"/>
            </w:tcBorders>
          </w:tcPr>
          <w:p w14:paraId="000000D2" w14:textId="77777777" w:rsidR="008A7B8D" w:rsidRDefault="008A7B8D">
            <w:pPr>
              <w:jc w:val="both"/>
              <w:rPr>
                <w:sz w:val="20"/>
              </w:rPr>
            </w:pPr>
          </w:p>
        </w:tc>
      </w:tr>
      <w:tr w:rsidR="008A7B8D" w14:paraId="190776FB" w14:textId="77777777">
        <w:tc>
          <w:tcPr>
            <w:tcW w:w="4675" w:type="dxa"/>
            <w:tcBorders>
              <w:top w:val="single" w:sz="4" w:space="0" w:color="000000"/>
            </w:tcBorders>
          </w:tcPr>
          <w:p w14:paraId="000000D3" w14:textId="77777777" w:rsidR="008A7B8D" w:rsidRDefault="00C51915">
            <w:pPr>
              <w:jc w:val="both"/>
              <w:rPr>
                <w:sz w:val="16"/>
                <w:szCs w:val="16"/>
              </w:rPr>
            </w:pPr>
            <w:r>
              <w:rPr>
                <w:sz w:val="16"/>
                <w:szCs w:val="16"/>
              </w:rPr>
              <w:t>Vendor Authorized Individual (signature)</w:t>
            </w:r>
          </w:p>
        </w:tc>
        <w:tc>
          <w:tcPr>
            <w:tcW w:w="1080" w:type="dxa"/>
          </w:tcPr>
          <w:p w14:paraId="000000D4" w14:textId="77777777" w:rsidR="008A7B8D" w:rsidRDefault="008A7B8D">
            <w:pPr>
              <w:jc w:val="both"/>
              <w:rPr>
                <w:sz w:val="16"/>
                <w:szCs w:val="16"/>
              </w:rPr>
            </w:pPr>
          </w:p>
        </w:tc>
        <w:tc>
          <w:tcPr>
            <w:tcW w:w="5040" w:type="dxa"/>
            <w:tcBorders>
              <w:top w:val="single" w:sz="4" w:space="0" w:color="000000"/>
            </w:tcBorders>
          </w:tcPr>
          <w:p w14:paraId="000000D5" w14:textId="77777777" w:rsidR="008A7B8D" w:rsidRDefault="00C51915">
            <w:pPr>
              <w:jc w:val="both"/>
              <w:rPr>
                <w:sz w:val="16"/>
                <w:szCs w:val="16"/>
              </w:rPr>
            </w:pPr>
            <w:r>
              <w:rPr>
                <w:sz w:val="16"/>
                <w:szCs w:val="16"/>
              </w:rPr>
              <w:t>Local Agency Director (signature)</w:t>
            </w:r>
          </w:p>
        </w:tc>
      </w:tr>
      <w:tr w:rsidR="008A7B8D" w14:paraId="4E6C40DE" w14:textId="77777777">
        <w:tc>
          <w:tcPr>
            <w:tcW w:w="4675" w:type="dxa"/>
            <w:tcBorders>
              <w:bottom w:val="single" w:sz="4" w:space="0" w:color="000000"/>
            </w:tcBorders>
          </w:tcPr>
          <w:p w14:paraId="000000D6" w14:textId="77777777" w:rsidR="008A7B8D" w:rsidRDefault="008A7B8D">
            <w:pPr>
              <w:jc w:val="both"/>
              <w:rPr>
                <w:sz w:val="20"/>
              </w:rPr>
            </w:pPr>
          </w:p>
        </w:tc>
        <w:tc>
          <w:tcPr>
            <w:tcW w:w="1080" w:type="dxa"/>
          </w:tcPr>
          <w:p w14:paraId="000000D7" w14:textId="77777777" w:rsidR="008A7B8D" w:rsidRDefault="008A7B8D">
            <w:pPr>
              <w:jc w:val="both"/>
              <w:rPr>
                <w:sz w:val="20"/>
              </w:rPr>
            </w:pPr>
          </w:p>
        </w:tc>
        <w:tc>
          <w:tcPr>
            <w:tcW w:w="5040" w:type="dxa"/>
            <w:tcBorders>
              <w:bottom w:val="single" w:sz="4" w:space="0" w:color="000000"/>
            </w:tcBorders>
          </w:tcPr>
          <w:p w14:paraId="000000D8" w14:textId="77777777" w:rsidR="008A7B8D" w:rsidRDefault="008A7B8D">
            <w:pPr>
              <w:jc w:val="both"/>
              <w:rPr>
                <w:sz w:val="20"/>
              </w:rPr>
            </w:pPr>
          </w:p>
        </w:tc>
      </w:tr>
      <w:tr w:rsidR="008A7B8D" w14:paraId="2A015BA4" w14:textId="77777777">
        <w:tc>
          <w:tcPr>
            <w:tcW w:w="4675" w:type="dxa"/>
            <w:tcBorders>
              <w:top w:val="single" w:sz="4" w:space="0" w:color="000000"/>
            </w:tcBorders>
          </w:tcPr>
          <w:p w14:paraId="000000D9" w14:textId="77777777" w:rsidR="008A7B8D" w:rsidRDefault="00C51915">
            <w:pPr>
              <w:jc w:val="both"/>
              <w:rPr>
                <w:sz w:val="16"/>
                <w:szCs w:val="16"/>
              </w:rPr>
            </w:pPr>
            <w:r>
              <w:rPr>
                <w:sz w:val="16"/>
                <w:szCs w:val="16"/>
              </w:rPr>
              <w:t>Date</w:t>
            </w:r>
          </w:p>
        </w:tc>
        <w:tc>
          <w:tcPr>
            <w:tcW w:w="1080" w:type="dxa"/>
          </w:tcPr>
          <w:p w14:paraId="000000DA" w14:textId="77777777" w:rsidR="008A7B8D" w:rsidRDefault="008A7B8D">
            <w:pPr>
              <w:jc w:val="both"/>
              <w:rPr>
                <w:sz w:val="16"/>
                <w:szCs w:val="16"/>
              </w:rPr>
            </w:pPr>
          </w:p>
        </w:tc>
        <w:tc>
          <w:tcPr>
            <w:tcW w:w="5040" w:type="dxa"/>
            <w:tcBorders>
              <w:top w:val="single" w:sz="4" w:space="0" w:color="000000"/>
            </w:tcBorders>
          </w:tcPr>
          <w:p w14:paraId="000000DB" w14:textId="77777777" w:rsidR="008A7B8D" w:rsidRDefault="00C51915">
            <w:pPr>
              <w:jc w:val="both"/>
              <w:rPr>
                <w:sz w:val="16"/>
                <w:szCs w:val="16"/>
              </w:rPr>
            </w:pPr>
            <w:r>
              <w:rPr>
                <w:sz w:val="16"/>
                <w:szCs w:val="16"/>
              </w:rPr>
              <w:t>Date</w:t>
            </w:r>
          </w:p>
        </w:tc>
      </w:tr>
    </w:tbl>
    <w:p w14:paraId="000000DC" w14:textId="77777777" w:rsidR="008A7B8D" w:rsidRDefault="008A7B8D">
      <w:pPr>
        <w:jc w:val="both"/>
        <w:rPr>
          <w:sz w:val="20"/>
        </w:rPr>
      </w:pPr>
      <w:bookmarkStart w:id="1" w:name="_GoBack"/>
      <w:bookmarkEnd w:id="1"/>
    </w:p>
    <w:sectPr w:rsidR="008A7B8D">
      <w:headerReference w:type="even" r:id="rId8"/>
      <w:headerReference w:type="default" r:id="rId9"/>
      <w:footerReference w:type="even" r:id="rId10"/>
      <w:footerReference w:type="default" r:id="rId11"/>
      <w:headerReference w:type="first" r:id="rId12"/>
      <w:footerReference w:type="first" r:id="rId13"/>
      <w:pgSz w:w="12240" w:h="15840"/>
      <w:pgMar w:top="988"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C56E5" w14:textId="77777777" w:rsidR="00897FEA" w:rsidRDefault="00897FEA">
      <w:r>
        <w:separator/>
      </w:r>
    </w:p>
  </w:endnote>
  <w:endnote w:type="continuationSeparator" w:id="0">
    <w:p w14:paraId="4007540E" w14:textId="77777777" w:rsidR="00897FEA" w:rsidRDefault="00897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1" w14:textId="77777777" w:rsidR="008A7B8D" w:rsidRDefault="008A7B8D">
    <w:pPr>
      <w:pBdr>
        <w:top w:val="nil"/>
        <w:left w:val="nil"/>
        <w:bottom w:val="nil"/>
        <w:right w:val="nil"/>
        <w:between w:val="nil"/>
      </w:pBdr>
      <w:tabs>
        <w:tab w:val="center" w:pos="4680"/>
        <w:tab w:val="right" w:pos="9360"/>
      </w:tabs>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3" w14:textId="77777777" w:rsidR="008A7B8D" w:rsidRDefault="008A7B8D">
    <w:pPr>
      <w:pBdr>
        <w:top w:val="nil"/>
        <w:left w:val="nil"/>
        <w:bottom w:val="nil"/>
        <w:right w:val="nil"/>
        <w:between w:val="nil"/>
      </w:pBdr>
      <w:tabs>
        <w:tab w:val="center" w:pos="4680"/>
        <w:tab w:val="right" w:pos="9360"/>
      </w:tabs>
      <w:jc w:val="right"/>
      <w:rPr>
        <w:color w:val="000000"/>
        <w:sz w:val="16"/>
        <w:szCs w:val="16"/>
      </w:rPr>
    </w:pPr>
  </w:p>
  <w:p w14:paraId="000000E4" w14:textId="07C78886" w:rsidR="008A7B8D" w:rsidRDefault="00C51915">
    <w:pPr>
      <w:pBdr>
        <w:top w:val="nil"/>
        <w:left w:val="nil"/>
        <w:bottom w:val="nil"/>
        <w:right w:val="nil"/>
        <w:between w:val="nil"/>
      </w:pBdr>
      <w:tabs>
        <w:tab w:val="center" w:pos="4680"/>
        <w:tab w:val="right" w:pos="9360"/>
      </w:tabs>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B54C6A">
      <w:rPr>
        <w:noProof/>
        <w:color w:val="000000"/>
        <w:sz w:val="16"/>
        <w:szCs w:val="16"/>
      </w:rPr>
      <w:t>1</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sidR="00B54C6A">
      <w:rPr>
        <w:noProof/>
        <w:color w:val="000000"/>
        <w:sz w:val="16"/>
        <w:szCs w:val="16"/>
      </w:rPr>
      <w:t>1</w:t>
    </w:r>
    <w:r>
      <w:rPr>
        <w:color w:val="000000"/>
        <w:sz w:val="16"/>
        <w:szCs w:val="16"/>
      </w:rPr>
      <w:fldChar w:fldCharType="end"/>
    </w:r>
  </w:p>
  <w:p w14:paraId="000000E5" w14:textId="77777777" w:rsidR="008A7B8D" w:rsidRDefault="008A7B8D">
    <w:pPr>
      <w:pBdr>
        <w:top w:val="nil"/>
        <w:left w:val="nil"/>
        <w:bottom w:val="nil"/>
        <w:right w:val="nil"/>
        <w:between w:val="nil"/>
      </w:pBdr>
      <w:tabs>
        <w:tab w:val="center" w:pos="4680"/>
        <w:tab w:val="right" w:pos="9360"/>
      </w:tabs>
      <w:rPr>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2" w14:textId="77777777" w:rsidR="008A7B8D" w:rsidRDefault="008A7B8D">
    <w:pPr>
      <w:pBdr>
        <w:top w:val="nil"/>
        <w:left w:val="nil"/>
        <w:bottom w:val="nil"/>
        <w:right w:val="nil"/>
        <w:between w:val="nil"/>
      </w:pBdr>
      <w:tabs>
        <w:tab w:val="center" w:pos="4680"/>
        <w:tab w:val="right" w:pos="9360"/>
      </w:tabs>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21F20" w14:textId="77777777" w:rsidR="00897FEA" w:rsidRDefault="00897FEA">
      <w:r>
        <w:separator/>
      </w:r>
    </w:p>
  </w:footnote>
  <w:footnote w:type="continuationSeparator" w:id="0">
    <w:p w14:paraId="2613FC8B" w14:textId="77777777" w:rsidR="00897FEA" w:rsidRDefault="00897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F" w14:textId="77777777" w:rsidR="008A7B8D" w:rsidRDefault="008A7B8D">
    <w:pPr>
      <w:pBdr>
        <w:top w:val="nil"/>
        <w:left w:val="nil"/>
        <w:bottom w:val="nil"/>
        <w:right w:val="nil"/>
        <w:between w:val="nil"/>
      </w:pBdr>
      <w:tabs>
        <w:tab w:val="center" w:pos="4680"/>
        <w:tab w:val="right" w:pos="936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D" w14:textId="77777777" w:rsidR="008A7B8D" w:rsidRDefault="00C51915">
    <w:pPr>
      <w:jc w:val="right"/>
      <w:rPr>
        <w:sz w:val="16"/>
        <w:szCs w:val="16"/>
        <w:u w:val="single"/>
      </w:rPr>
    </w:pPr>
    <w:bookmarkStart w:id="2" w:name="_heading=h.gjdgxs" w:colFirst="0" w:colLast="0"/>
    <w:bookmarkEnd w:id="2"/>
    <w:r>
      <w:rPr>
        <w:sz w:val="16"/>
        <w:szCs w:val="16"/>
      </w:rPr>
      <w:t xml:space="preserve">FY22 </w:t>
    </w:r>
    <w:r>
      <w:rPr>
        <w:b/>
        <w:sz w:val="16"/>
        <w:szCs w:val="16"/>
      </w:rPr>
      <w:t>PREPAID</w:t>
    </w:r>
    <w:r>
      <w:rPr>
        <w:sz w:val="16"/>
        <w:szCs w:val="16"/>
      </w:rPr>
      <w:t xml:space="preserve"> DELIVERABLE FUEL VENDOR AGREEMENT</w:t>
    </w:r>
  </w:p>
  <w:p w14:paraId="000000DE" w14:textId="77777777" w:rsidR="008A7B8D" w:rsidRDefault="008A7B8D">
    <w:pPr>
      <w:pBdr>
        <w:top w:val="nil"/>
        <w:left w:val="nil"/>
        <w:bottom w:val="nil"/>
        <w:right w:val="nil"/>
        <w:between w:val="nil"/>
      </w:pBdr>
      <w:tabs>
        <w:tab w:val="center" w:pos="4680"/>
        <w:tab w:val="right" w:pos="936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0" w14:textId="77777777" w:rsidR="008A7B8D" w:rsidRDefault="008A7B8D">
    <w:pPr>
      <w:pBdr>
        <w:top w:val="nil"/>
        <w:left w:val="nil"/>
        <w:bottom w:val="nil"/>
        <w:right w:val="nil"/>
        <w:between w:val="nil"/>
      </w:pBdr>
      <w:tabs>
        <w:tab w:val="center" w:pos="4680"/>
        <w:tab w:val="right" w:pos="936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A23D1F"/>
    <w:multiLevelType w:val="multilevel"/>
    <w:tmpl w:val="FC8E5B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B8D"/>
    <w:rsid w:val="00216F8F"/>
    <w:rsid w:val="003A5072"/>
    <w:rsid w:val="003F0EBE"/>
    <w:rsid w:val="006A2175"/>
    <w:rsid w:val="006D4CA8"/>
    <w:rsid w:val="006F12C8"/>
    <w:rsid w:val="0073404B"/>
    <w:rsid w:val="00897FEA"/>
    <w:rsid w:val="008A7B8D"/>
    <w:rsid w:val="00B54C6A"/>
    <w:rsid w:val="00C51915"/>
    <w:rsid w:val="00D34C99"/>
    <w:rsid w:val="00DF3458"/>
    <w:rsid w:val="00ED4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D3960"/>
  <w15:docId w15:val="{A0064B9A-1C91-4E65-B57F-26AC1094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958"/>
    <w:rPr>
      <w:szCs w:val="2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99"/>
    <w:rsid w:val="00613C08"/>
    <w:pPr>
      <w:tabs>
        <w:tab w:val="left" w:pos="0"/>
        <w:tab w:val="left" w:pos="270"/>
      </w:tabs>
      <w:ind w:right="-360"/>
      <w:jc w:val="both"/>
    </w:pPr>
    <w:rPr>
      <w:color w:val="000000"/>
      <w:sz w:val="18"/>
    </w:rPr>
  </w:style>
  <w:style w:type="character" w:customStyle="1" w:styleId="BodyTextChar">
    <w:name w:val="Body Text Char"/>
    <w:basedOn w:val="DefaultParagraphFont"/>
    <w:link w:val="BodyText"/>
    <w:uiPriority w:val="99"/>
    <w:semiHidden/>
    <w:rsid w:val="00B94D00"/>
    <w:rPr>
      <w:rFonts w:ascii="Arial" w:hAnsi="Arial"/>
      <w:sz w:val="24"/>
      <w:szCs w:val="20"/>
    </w:rPr>
  </w:style>
  <w:style w:type="paragraph" w:styleId="BlockText">
    <w:name w:val="Block Text"/>
    <w:basedOn w:val="Normal"/>
    <w:uiPriority w:val="99"/>
    <w:rsid w:val="00613C08"/>
    <w:pPr>
      <w:ind w:left="90" w:right="-360" w:hanging="90"/>
      <w:jc w:val="both"/>
    </w:pPr>
    <w:rPr>
      <w:color w:val="000000"/>
      <w:sz w:val="18"/>
    </w:rPr>
  </w:style>
  <w:style w:type="paragraph" w:styleId="BalloonText">
    <w:name w:val="Balloon Text"/>
    <w:basedOn w:val="Normal"/>
    <w:link w:val="BalloonTextChar"/>
    <w:uiPriority w:val="99"/>
    <w:semiHidden/>
    <w:rsid w:val="009018C0"/>
    <w:rPr>
      <w:rFonts w:ascii="Tahoma" w:hAnsi="Tahoma" w:cs="Tahoma"/>
      <w:sz w:val="16"/>
      <w:szCs w:val="16"/>
    </w:rPr>
  </w:style>
  <w:style w:type="character" w:customStyle="1" w:styleId="BalloonTextChar">
    <w:name w:val="Balloon Text Char"/>
    <w:basedOn w:val="DefaultParagraphFont"/>
    <w:link w:val="BalloonText"/>
    <w:uiPriority w:val="99"/>
    <w:semiHidden/>
    <w:rsid w:val="00B94D00"/>
    <w:rPr>
      <w:rFonts w:ascii="Times New Roman" w:hAnsi="Times New Roman"/>
      <w:sz w:val="0"/>
      <w:szCs w:val="0"/>
    </w:rPr>
  </w:style>
  <w:style w:type="paragraph" w:styleId="ListParagraph">
    <w:name w:val="List Paragraph"/>
    <w:basedOn w:val="Normal"/>
    <w:uiPriority w:val="99"/>
    <w:qFormat/>
    <w:rsid w:val="0055376D"/>
    <w:pPr>
      <w:ind w:left="720"/>
    </w:pPr>
  </w:style>
  <w:style w:type="character" w:styleId="CommentReference">
    <w:name w:val="annotation reference"/>
    <w:basedOn w:val="DefaultParagraphFont"/>
    <w:uiPriority w:val="99"/>
    <w:semiHidden/>
    <w:unhideWhenUsed/>
    <w:rsid w:val="002F4722"/>
    <w:rPr>
      <w:sz w:val="16"/>
      <w:szCs w:val="16"/>
    </w:rPr>
  </w:style>
  <w:style w:type="paragraph" w:styleId="CommentText">
    <w:name w:val="annotation text"/>
    <w:basedOn w:val="Normal"/>
    <w:link w:val="CommentTextChar"/>
    <w:uiPriority w:val="99"/>
    <w:semiHidden/>
    <w:unhideWhenUsed/>
    <w:rsid w:val="002F4722"/>
    <w:rPr>
      <w:sz w:val="20"/>
    </w:rPr>
  </w:style>
  <w:style w:type="character" w:customStyle="1" w:styleId="CommentTextChar">
    <w:name w:val="Comment Text Char"/>
    <w:basedOn w:val="DefaultParagraphFont"/>
    <w:link w:val="CommentText"/>
    <w:uiPriority w:val="99"/>
    <w:semiHidden/>
    <w:rsid w:val="002F472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F4722"/>
    <w:rPr>
      <w:b/>
      <w:bCs/>
    </w:rPr>
  </w:style>
  <w:style w:type="character" w:customStyle="1" w:styleId="CommentSubjectChar">
    <w:name w:val="Comment Subject Char"/>
    <w:basedOn w:val="CommentTextChar"/>
    <w:link w:val="CommentSubject"/>
    <w:uiPriority w:val="99"/>
    <w:semiHidden/>
    <w:rsid w:val="002F4722"/>
    <w:rPr>
      <w:rFonts w:ascii="Arial" w:hAnsi="Arial"/>
      <w:b/>
      <w:bCs/>
      <w:sz w:val="20"/>
      <w:szCs w:val="20"/>
    </w:rPr>
  </w:style>
  <w:style w:type="paragraph" w:styleId="Header">
    <w:name w:val="header"/>
    <w:basedOn w:val="Normal"/>
    <w:link w:val="HeaderChar"/>
    <w:uiPriority w:val="99"/>
    <w:unhideWhenUsed/>
    <w:rsid w:val="00C85E5A"/>
    <w:pPr>
      <w:tabs>
        <w:tab w:val="center" w:pos="4680"/>
        <w:tab w:val="right" w:pos="9360"/>
      </w:tabs>
    </w:pPr>
  </w:style>
  <w:style w:type="character" w:customStyle="1" w:styleId="HeaderChar">
    <w:name w:val="Header Char"/>
    <w:basedOn w:val="DefaultParagraphFont"/>
    <w:link w:val="Header"/>
    <w:uiPriority w:val="99"/>
    <w:rsid w:val="00C85E5A"/>
    <w:rPr>
      <w:rFonts w:ascii="Arial" w:hAnsi="Arial"/>
      <w:sz w:val="24"/>
      <w:szCs w:val="20"/>
    </w:rPr>
  </w:style>
  <w:style w:type="paragraph" w:styleId="Footer">
    <w:name w:val="footer"/>
    <w:basedOn w:val="Normal"/>
    <w:link w:val="FooterChar"/>
    <w:uiPriority w:val="99"/>
    <w:unhideWhenUsed/>
    <w:rsid w:val="00C85E5A"/>
    <w:pPr>
      <w:tabs>
        <w:tab w:val="center" w:pos="4680"/>
        <w:tab w:val="right" w:pos="9360"/>
      </w:tabs>
    </w:pPr>
  </w:style>
  <w:style w:type="character" w:customStyle="1" w:styleId="FooterChar">
    <w:name w:val="Footer Char"/>
    <w:basedOn w:val="DefaultParagraphFont"/>
    <w:link w:val="Footer"/>
    <w:uiPriority w:val="99"/>
    <w:rsid w:val="00C85E5A"/>
    <w:rPr>
      <w:rFonts w:ascii="Arial" w:hAnsi="Arial"/>
      <w:sz w:val="24"/>
      <w:szCs w:val="20"/>
    </w:rPr>
  </w:style>
  <w:style w:type="paragraph" w:styleId="Revision">
    <w:name w:val="Revision"/>
    <w:hidden/>
    <w:uiPriority w:val="99"/>
    <w:semiHidden/>
    <w:rsid w:val="00374D8B"/>
    <w:rPr>
      <w:szCs w:val="20"/>
    </w:rPr>
  </w:style>
  <w:style w:type="table" w:styleId="TableGrid">
    <w:name w:val="Table Grid"/>
    <w:basedOn w:val="TableNormal"/>
    <w:uiPriority w:val="59"/>
    <w:rsid w:val="00F54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mSYHlFi9hNNDK7TB1t3l1Oyn+g==">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1650</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Iowa Department of Human Rights</dc:creator>
  <cp:lastModifiedBy>Taylor, Christine [DHR]</cp:lastModifiedBy>
  <cp:revision>4</cp:revision>
  <dcterms:created xsi:type="dcterms:W3CDTF">2021-07-07T20:26:00Z</dcterms:created>
  <dcterms:modified xsi:type="dcterms:W3CDTF">2021-07-07T20:30:00Z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